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7777777" w:rsidR="00C300BD" w:rsidRPr="00335242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32D52BB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>
        <w:rPr>
          <w:sz w:val="28"/>
          <w:szCs w:val="28"/>
        </w:rPr>
        <w:t>начальника отдела жилищно-коммунального хозяйства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1B027608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обусловленную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1077F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725C04A4" w14:textId="28742893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>
        <w:rPr>
          <w:sz w:val="28"/>
          <w:szCs w:val="28"/>
        </w:rPr>
        <w:t>7</w:t>
      </w:r>
      <w:r w:rsidR="00282355">
        <w:rPr>
          <w:sz w:val="28"/>
          <w:szCs w:val="28"/>
        </w:rPr>
        <w:t>428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1BDEE56A" w14:textId="77777777" w:rsidR="00C300BD" w:rsidRPr="00335242" w:rsidRDefault="00C300BD" w:rsidP="00C300B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04D66390" w14:textId="77777777" w:rsidR="00C300BD" w:rsidRDefault="00C300BD" w:rsidP="00C300BD">
      <w:pPr>
        <w:rPr>
          <w:sz w:val="22"/>
          <w:szCs w:val="22"/>
        </w:rPr>
      </w:pPr>
    </w:p>
    <w:p w14:paraId="2FB6338D" w14:textId="77777777" w:rsidR="00C300BD" w:rsidRDefault="00C300BD" w:rsidP="00C300BD"/>
    <w:p w14:paraId="7BE47073" w14:textId="77777777" w:rsidR="00C300BD" w:rsidRDefault="00C300BD" w:rsidP="00C300BD"/>
    <w:p w14:paraId="2052C97F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82713"/>
    <w:rsid w:val="0026655A"/>
    <w:rsid w:val="00282355"/>
    <w:rsid w:val="00515701"/>
    <w:rsid w:val="00B24725"/>
    <w:rsid w:val="00C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2024-02-21T23:58:00Z</dcterms:created>
  <dcterms:modified xsi:type="dcterms:W3CDTF">2024-02-21T23:58:00Z</dcterms:modified>
</cp:coreProperties>
</file>