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C4" w:rsidRDefault="002B5884" w:rsidP="004C5DF2">
      <w:pPr>
        <w:spacing w:after="0" w:line="240" w:lineRule="auto"/>
        <w:ind w:firstLine="142"/>
        <w:rPr>
          <w:i/>
          <w:sz w:val="36"/>
          <w:szCs w:val="36"/>
        </w:rPr>
      </w:pPr>
      <w:r>
        <w:rPr>
          <w:b w:val="0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4E38E" wp14:editId="163A7FDA">
                <wp:simplePos x="0" y="0"/>
                <wp:positionH relativeFrom="margin">
                  <wp:posOffset>5004435</wp:posOffset>
                </wp:positionH>
                <wp:positionV relativeFrom="paragraph">
                  <wp:posOffset>6350</wp:posOffset>
                </wp:positionV>
                <wp:extent cx="1666875" cy="1200150"/>
                <wp:effectExtent l="0" t="0" r="952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DF2" w:rsidRDefault="002B5884" w:rsidP="004C5D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A25293" wp14:editId="0846C758">
                                  <wp:extent cx="1409590" cy="1085850"/>
                                  <wp:effectExtent l="0" t="0" r="635" b="0"/>
                                  <wp:docPr id="4" name="Рисунок 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78" cy="1094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4E38E" id="Прямоугольник 6" o:spid="_x0000_s1026" style="position:absolute;left:0;text-align:left;margin-left:394.05pt;margin-top:.5pt;width:131.2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3/nwIAAEcFAAAOAAAAZHJzL2Uyb0RvYy54bWysVEtu2zAQ3RfoHQjuG1lG4qRG5MBIkKJA&#10;kARNiqxpioyFUhyWpC25qwLdBugReohuin5yBvlGHVKykqZeFd1QHM28+byZ4eFRXSqyFNYVoDOa&#10;7gwoEZpDXujbjL69Pn1xQInzTOdMgRYZXQlHjybPnx1WZiyGMAeVC0vQiXbjymR07r0ZJ4njc1Ey&#10;twNGaFRKsCXzKNrbJLesQu+lSoaDwSipwObGAhfO4d+TVkkn0b+UgvsLKZ3wRGUUc/PxtPGchTOZ&#10;HLLxrWVmXvAuDfYPWZSs0Bi0d3XCPCMLW/zlqiy4BQfS73AoE5Cy4CLWgNWkgyfVXM2ZEbEWJMeZ&#10;nib3/9zy8+WlJUWe0RElmpXYoubL+uP6c/OzuV9/ar42982P9V3zq/nWfCejwFdl3BhhV+bSdpLD&#10;ayi+lrYMXyyL1JHjVc+xqD3h+DMdjUYH+3uUcNSl2MJ0L3YheYAb6/wrASUJl4xabGLkli3PnMeQ&#10;aLoxCdGUDqeG00KpVhv+JCHNNrF48yslWus3QmLBmMoweo2jJo6VJUuGQ8I4F9rHQjGO0mgdYBKd&#10;98B0G1D5NLCDoM42wEQcwR442Ab8M2KPiFFB+x5cFhrsNgf5uz5ya7+pvq05lO/rWd01awb5Cltu&#10;od0FZ/hpgTyfMecvmcXhxzXBhfYXeEgFVUahu1EyB/th2/9gjzOJWkoqXKaMuvcLZgUl6rXGaX2Z&#10;7u6G7YvC7t7+EAX7WDN7rNGL8hiwFSk+HYbHa7D3anOVFsob3PtpiIoqpjnGzij3diMc+3bJ8eXg&#10;YjqNZrhxhvkzfWV4cB4IDnN0Xd8wa7ph8zin57BZPDZ+MnOtbUBqmC48yCIOZKC45bWjHrc1jkL3&#10;soTn4LEcrR7ev8lvAAAA//8DAFBLAwQUAAYACAAAACEAu3hPBuAAAAAKAQAADwAAAGRycy9kb3du&#10;cmV2LnhtbEyPwU7DMBBE70j8g7VI3KhdWpoQ4lSoouLAoSKAxNGNt0kgXqex24a/Z3uC247eaHYm&#10;X46uE0ccQutJw3SiQCBV3rZUa3h/W9+kIEI0ZE3nCTX8YIBlcXmRm8z6E73isYy14BAKmdHQxNhn&#10;UoaqQWfCxPdIzHZ+cCayHGppB3PicNfJW6UW0pmW+ENjelw1WH2XB6fh5cvu5/Xn02bWJqvkYz9/&#10;Lte7mdbXV+PjA4iIY/wzw7k+V4eCO239gWwQnYYkTadsZcCTzlzdqQWILV/3SoEscvl/QvELAAD/&#10;/wMAUEsBAi0AFAAGAAgAAAAhALaDOJL+AAAA4QEAABMAAAAAAAAAAAAAAAAAAAAAAFtDb250ZW50&#10;X1R5cGVzXS54bWxQSwECLQAUAAYACAAAACEAOP0h/9YAAACUAQAACwAAAAAAAAAAAAAAAAAvAQAA&#10;X3JlbHMvLnJlbHNQSwECLQAUAAYACAAAACEAHsq9/58CAABHBQAADgAAAAAAAAAAAAAAAAAuAgAA&#10;ZHJzL2Uyb0RvYy54bWxQSwECLQAUAAYACAAAACEAu3hPBuAAAAAKAQAADwAAAAAAAAAAAAAAAAD5&#10;BAAAZHJzL2Rvd25yZXYueG1sUEsFBgAAAAAEAAQA8wAAAAYGAAAAAA==&#10;" fillcolor="white [3201]" stroked="f" strokeweight="1pt">
                <v:textbox>
                  <w:txbxContent>
                    <w:p w:rsidR="004C5DF2" w:rsidRDefault="002B5884" w:rsidP="004C5DF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A25293" wp14:editId="0846C758">
                            <wp:extent cx="1409590" cy="1085850"/>
                            <wp:effectExtent l="0" t="0" r="635" b="0"/>
                            <wp:docPr id="4" name="Рисунок 4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478" cy="1094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F84BD" wp14:editId="020445F8">
                <wp:simplePos x="0" y="0"/>
                <wp:positionH relativeFrom="column">
                  <wp:posOffset>1423035</wp:posOffset>
                </wp:positionH>
                <wp:positionV relativeFrom="paragraph">
                  <wp:posOffset>-2540</wp:posOffset>
                </wp:positionV>
                <wp:extent cx="3724275" cy="4572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CC4" w:rsidRDefault="00582CC4" w:rsidP="00582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УПРАВЛЕНИЕ ГРАЖДАНСКОЙ ЗАЩИТЫ </w:t>
                            </w:r>
                          </w:p>
                          <w:p w:rsidR="00582CC4" w:rsidRDefault="00582CC4" w:rsidP="00582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АМУРСКОГО МУНИЦИПАЛЬНОГО РАЙОНА</w:t>
                            </w:r>
                          </w:p>
                          <w:p w:rsidR="00582CC4" w:rsidRDefault="00582CC4" w:rsidP="00582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F84BD" id="Прямоугольник 9" o:spid="_x0000_s1027" style="position:absolute;left:0;text-align:left;margin-left:112.05pt;margin-top:-.2pt;width:29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v9SgIAAF8EAAAOAAAAZHJzL2Uyb0RvYy54bWysVM2O0zAQviPxDpbvNG1p6TZqulp1KUJa&#10;YKWFB3Acp7FwbDN2m5YT0l6ReAQeggviZ58hfSPGbrfbhQtC5GDNeDzfzHwzk8npulZkJcBJozPa&#10;63QpEZqbQupFRt+8nj86ocR5pgumjBYZ3QhHT6cPH0wam4q+qYwqBBAE0S5tbEYr722aJI5Xomau&#10;Y6zQaCwN1MyjCoukANYgeq2Sfrf7JGkMFBYMF87h7fnOSKcRvywF96/K0glPVEYxNx9PiGcezmQ6&#10;YekCmK0k36fB/iGLmkmNQQ9Q58wzsgT5B1QtORhnSt/hpk5MWUouYg1YTa/7WzVXFbMi1oLkOHug&#10;yf0/WP5ydQlEFhkdU6JZjS1qP28/bD+1P9qb7XX7pb1pv28/tj/br+03Mg58Ndal6HZlLyFU7OyF&#10;4W8d0WZWMb0QZwCmqQQrMMteeJ/ccwiKQ1eSNy9MgeHY0ptI3bqEOgAiKWQdO7Q5dEisPeF4+XjU&#10;H/RHQ0o42gbDEY5ADMHSW28Lzj8TpiZByCjgBER0trpwPmTD0tsnMXujZDGXSkUFFvlMAVkxnJZ5&#10;/Pbo7viZ0qRBvob9YUS+Z3N/B1FLj2OvZJ3Rk274QhyWBtqe6iLKnkm1kzFlpfc8Bup2LfDrfB0b&#10;F0kOtOam2CCxYHZTjluJQmXgPSUNTnhG3bslA0GJeq6xOePeYBBWIiqRS0rg2JIfW5jmCJVRT8lO&#10;nPndGi0tyEWFkXqRDW3OsKGljFzfZbVPH6c4tmC/cWFNjvX46u6/MP0FAAD//wMAUEsDBBQABgAI&#10;AAAAIQBq7Sdv3QAAAAgBAAAPAAAAZHJzL2Rvd25yZXYueG1sTI/BTsMwEETvSPyDtUjcWidRFKoQ&#10;p4ISxIVDKXDf2ksSEa+j2G1Tvh5zosfRjGbeVOvZDuJIk+8dK0iXCQhi7UzPrYKP9+fFCoQPyAYH&#10;x6TgTB7W9fVVhaVxJ36j4y60IpawL1FBF8JYSul1Rxb90o3E0ftyk8UQ5dRKM+EplttBZklSSIs9&#10;x4UOR9p0pL93B6tgi/i0/XnR+rE5v+YNbT4bcoNStzfzwz2IQHP4D8MffkSHOjLt3YGNF4OCLMvT&#10;GFWwyEFEf5UmBYi9gru0AFlX8vJA/QsAAP//AwBQSwECLQAUAAYACAAAACEAtoM4kv4AAADhAQAA&#10;EwAAAAAAAAAAAAAAAAAAAAAAW0NvbnRlbnRfVHlwZXNdLnhtbFBLAQItABQABgAIAAAAIQA4/SH/&#10;1gAAAJQBAAALAAAAAAAAAAAAAAAAAC8BAABfcmVscy8ucmVsc1BLAQItABQABgAIAAAAIQBcAMv9&#10;SgIAAF8EAAAOAAAAAAAAAAAAAAAAAC4CAABkcnMvZTJvRG9jLnhtbFBLAQItABQABgAIAAAAIQBq&#10;7Sdv3QAAAAgBAAAPAAAAAAAAAAAAAAAAAKQEAABkcnMvZG93bnJldi54bWxQSwUGAAAAAAQABADz&#10;AAAArgUAAAAA&#10;" strokecolor="white">
                <v:textbox>
                  <w:txbxContent>
                    <w:p w:rsidR="00582CC4" w:rsidRDefault="00582CC4" w:rsidP="00582CC4">
                      <w:pPr>
                        <w:spacing w:after="0" w:line="240" w:lineRule="auto"/>
                        <w:jc w:val="center"/>
                      </w:pPr>
                      <w:r>
                        <w:t xml:space="preserve">УПРАВЛЕНИЕ ГРАЖДАНСКОЙ ЗАЩИТЫ </w:t>
                      </w:r>
                    </w:p>
                    <w:p w:rsidR="00582CC4" w:rsidRDefault="00582CC4" w:rsidP="00582CC4">
                      <w:pPr>
                        <w:spacing w:after="0" w:line="240" w:lineRule="auto"/>
                        <w:jc w:val="center"/>
                      </w:pPr>
                      <w:r>
                        <w:t>АМУРСКОГО МУНИЦИПАЛЬНОГО РАЙОНА</w:t>
                      </w:r>
                    </w:p>
                    <w:p w:rsidR="00582CC4" w:rsidRDefault="00582CC4" w:rsidP="00582CC4"/>
                  </w:txbxContent>
                </v:textbox>
              </v:rect>
            </w:pict>
          </mc:Fallback>
        </mc:AlternateContent>
      </w:r>
      <w:r>
        <w:rPr>
          <w:b w:val="0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CDF81" wp14:editId="181762B6">
                <wp:simplePos x="0" y="0"/>
                <wp:positionH relativeFrom="column">
                  <wp:posOffset>1832610</wp:posOffset>
                </wp:positionH>
                <wp:positionV relativeFrom="paragraph">
                  <wp:posOffset>520700</wp:posOffset>
                </wp:positionV>
                <wp:extent cx="2962275" cy="37147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DF2" w:rsidRDefault="004C5DF2" w:rsidP="004C5DF2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ПАМЯТКА</w:t>
                            </w:r>
                          </w:p>
                          <w:p w:rsidR="004C5DF2" w:rsidRDefault="004C5DF2" w:rsidP="004C5DF2">
                            <w:pPr>
                              <w:spacing w:after="0" w:line="240" w:lineRule="auto"/>
                              <w:ind w:firstLine="142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C5DF2" w:rsidRDefault="004C5DF2" w:rsidP="004C5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CDF81" id="Прямоугольник 3" o:spid="_x0000_s1028" style="position:absolute;left:0;text-align:left;margin-left:144.3pt;margin-top:41pt;width:233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TXnAIAAE0FAAAOAAAAZHJzL2Uyb0RvYy54bWysVM1uEzEQviPxDpbvdLPbtKVRN1XUqgip&#10;KhUt6tnx2s0Kr8fYTjbhhMQViUfgIbggfvoMmzdi7N1sS8kJcbFnPPPN//joeFkpshDWlaBzmu4M&#10;KBGaQ1Hq25y+uT579pwS55kumAItcroSjh6Pnz45qs1IZDADVQhL0Ih2o9rkdOa9GSWJ4zNRMbcD&#10;RmgUSrAV88ja26SwrEbrlUqywWA/qcEWxgIXzuHraSuk42hfSsH9Kymd8ETlFGPz8bTxnIYzGR+x&#10;0a1lZlbyLgz2D1FUrNTotDd1yjwjc1v+ZaoquQUH0u9wqBKQsuQi5oDZpINH2VzNmBExFyyOM32Z&#10;3P8zyy8Wl5aURU53KdGswhY1X9Yf1p+bn83d+mPztblrfqw/Nb+ab813shvqVRs3QtiVubQd55AM&#10;yS+lrcKNaZFlrPGqr7FYesLxMTvcz7KDPUo4ynYP0iHSaCa5Rxvr/AsBFQlETi32MJaWLc6db1U3&#10;KsGZ0uHUcFYq1UrDSxKibOOKlF8p0Wq/FhLzDZFEq3HSxImyZMFwRhjnQvv9LiSlUTvAJBrvgek2&#10;oPJpB+p0A0zECeyBg23APz32iOgVtO/BVanBbjNQvO09t/qb7NucQ/p+OV3GJmchxvAyhWKFjbfQ&#10;boQz/KzEcp8z5y+ZxRXAZcG19q/wkArqnEJHUTID+37be9DHyUQpJTWuVE7duzmzghL1UuPMHqbD&#10;YdjByAz3DjJk7EPJ9KFEz6sTwI6k+IEYHsmg79WGlBaqG9z+SfCKIqY5+s4p93bDnPh21fH/4GIy&#10;iWq4d4b5c31leDAe6hzG6Xp5w6zpZs7jtF7AZv3Y6NHotboBqWEy9yDLOJf3de06gDsbJ7v7X8Kn&#10;8JCPWve/4Pg3AAAA//8DAFBLAwQUAAYACAAAACEA62sU2eEAAAAKAQAADwAAAGRycy9kb3ducmV2&#10;LnhtbEyPQU+DQBCF7yb+h82YeLNLKRSCLI1pbDx4MK2aeNyyU0DZWcpuW/z3jic9TubLe98rV5Pt&#10;xRlH3zlSMJ9FIJBqZzpqFLy9bu5yED5oMrp3hAq+0cOqur4qdWHchbZ43oVGcAj5QitoQxgKKX3d&#10;otV+5gYk/h3caHXgc2ykGfWFw20v4yhaSqs74oZWD7husf7anayC509zTJqPx5dFl62z92PytNsc&#10;Fkrd3kwP9yACTuEPhl99VoeKnfbuRMaLXkGc50tGFeQxb2IgS9M5iD2TSZSCrEr5f0L1AwAA//8D&#10;AFBLAQItABQABgAIAAAAIQC2gziS/gAAAOEBAAATAAAAAAAAAAAAAAAAAAAAAABbQ29udGVudF9U&#10;eXBlc10ueG1sUEsBAi0AFAAGAAgAAAAhADj9If/WAAAAlAEAAAsAAAAAAAAAAAAAAAAALwEAAF9y&#10;ZWxzLy5yZWxzUEsBAi0AFAAGAAgAAAAhAMMcNNecAgAATQUAAA4AAAAAAAAAAAAAAAAALgIAAGRy&#10;cy9lMm9Eb2MueG1sUEsBAi0AFAAGAAgAAAAhAOtrFNnhAAAACgEAAA8AAAAAAAAAAAAAAAAA9gQA&#10;AGRycy9kb3ducmV2LnhtbFBLBQYAAAAABAAEAPMAAAAEBgAAAAA=&#10;" fillcolor="white [3201]" stroked="f" strokeweight="1pt">
                <v:textbox>
                  <w:txbxContent>
                    <w:p w:rsidR="004C5DF2" w:rsidRDefault="004C5DF2" w:rsidP="004C5DF2">
                      <w:pPr>
                        <w:spacing w:after="0" w:line="240" w:lineRule="auto"/>
                        <w:ind w:firstLine="142"/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ПАМЯТКА</w:t>
                      </w:r>
                    </w:p>
                    <w:p w:rsidR="004C5DF2" w:rsidRDefault="004C5DF2" w:rsidP="004C5DF2">
                      <w:pPr>
                        <w:spacing w:after="0" w:line="240" w:lineRule="auto"/>
                        <w:ind w:firstLine="142"/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 xml:space="preserve"> </w:t>
                      </w:r>
                    </w:p>
                    <w:p w:rsidR="004C5DF2" w:rsidRDefault="004C5DF2" w:rsidP="004C5DF2"/>
                  </w:txbxContent>
                </v:textbox>
              </v:rect>
            </w:pict>
          </mc:Fallback>
        </mc:AlternateContent>
      </w:r>
      <w:r w:rsidR="00582CC4">
        <w:rPr>
          <w:noProof/>
          <w:sz w:val="28"/>
          <w:szCs w:val="28"/>
          <w:lang w:eastAsia="ru-RU"/>
        </w:rPr>
        <w:drawing>
          <wp:inline distT="0" distB="0" distL="0" distR="0" wp14:anchorId="70DEF82E" wp14:editId="34E3E324">
            <wp:extent cx="1162050" cy="1123950"/>
            <wp:effectExtent l="0" t="0" r="0" b="0"/>
            <wp:docPr id="1" name="Рисунок 1" descr="EMBLEMA новая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A новая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CC4">
        <w:rPr>
          <w:b w:val="0"/>
          <w:i/>
          <w:sz w:val="36"/>
          <w:szCs w:val="36"/>
        </w:rPr>
        <w:t xml:space="preserve">                            </w:t>
      </w:r>
    </w:p>
    <w:p w:rsidR="004C5DF2" w:rsidRPr="00AC0918" w:rsidRDefault="004C5DF2" w:rsidP="00582C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b w:val="0"/>
          <w:color w:val="000000"/>
          <w:sz w:val="16"/>
          <w:szCs w:val="16"/>
        </w:rPr>
      </w:pPr>
    </w:p>
    <w:p w:rsidR="00C25E13" w:rsidRDefault="00C25E13" w:rsidP="006E4132">
      <w:pPr>
        <w:tabs>
          <w:tab w:val="left" w:pos="6804"/>
        </w:tabs>
        <w:spacing w:after="0" w:line="240" w:lineRule="exact"/>
        <w:ind w:firstLine="284"/>
        <w:jc w:val="both"/>
        <w:rPr>
          <w:rFonts w:eastAsia="Times New Roman"/>
          <w:bCs/>
          <w:shd w:val="clear" w:color="auto" w:fill="FFFFFF"/>
          <w:lang w:eastAsia="ru-RU"/>
        </w:rPr>
      </w:pPr>
      <w:r>
        <w:rPr>
          <w:rFonts w:eastAsia="Times New Roman"/>
          <w:bCs/>
          <w:shd w:val="clear" w:color="auto" w:fill="FFFFFF"/>
          <w:lang w:eastAsia="ru-RU"/>
        </w:rPr>
        <w:t>КГБУ «Хабаровская краевая станция по борьбе с болезнями животных» информирует о том, что в результате лабораторных исследований сыворотки крови от мелкого рогатого скота, содержащегося на территории Амурского муниципального района, в 1 пробе обнаружены антитела к неструктурным белкам вируса ящура. Выявление антител является основанием для подозрения на ящур.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Ящур - </w:t>
      </w:r>
      <w:proofErr w:type="spellStart"/>
      <w:r w:rsidRPr="00F60401">
        <w:rPr>
          <w:rFonts w:ascii="Times New Roman" w:hAnsi="Times New Roman" w:cs="Times New Roman"/>
          <w:sz w:val="24"/>
          <w:szCs w:val="24"/>
          <w:lang w:eastAsia="ru-RU"/>
        </w:rPr>
        <w:t>высококонтагиозная</w:t>
      </w:r>
      <w:proofErr w:type="spellEnd"/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 вирусная болезнь парнокопытных, а также </w:t>
      </w:r>
      <w:proofErr w:type="spellStart"/>
      <w:r w:rsidRPr="00F60401">
        <w:rPr>
          <w:rFonts w:ascii="Times New Roman" w:hAnsi="Times New Roman" w:cs="Times New Roman"/>
          <w:sz w:val="24"/>
          <w:szCs w:val="24"/>
          <w:lang w:eastAsia="ru-RU"/>
        </w:rPr>
        <w:t>мозоленогих</w:t>
      </w:r>
      <w:proofErr w:type="spellEnd"/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 животных. 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Клиническими признаками болезни являются наличие везикул (афт) и эрозий на слизистой оболочке ротовой полости, на коже венчика и </w:t>
      </w:r>
      <w:proofErr w:type="spellStart"/>
      <w:r w:rsidRPr="00F60401">
        <w:rPr>
          <w:rFonts w:ascii="Times New Roman" w:hAnsi="Times New Roman" w:cs="Times New Roman"/>
          <w:sz w:val="24"/>
          <w:szCs w:val="24"/>
          <w:lang w:eastAsia="ru-RU"/>
        </w:rPr>
        <w:t>межкопытцевой</w:t>
      </w:r>
      <w:proofErr w:type="spellEnd"/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 щели, носового зеркала, вымени (молочных желез). У больных восприимчивых животных наблюдаются слюнотечение, повышение температуры тела, хромота и снижение аппетита.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F60401">
        <w:rPr>
          <w:rFonts w:ascii="Times New Roman" w:hAnsi="Times New Roman" w:cs="Times New Roman"/>
          <w:sz w:val="24"/>
          <w:szCs w:val="24"/>
          <w:lang w:eastAsia="ru-RU"/>
        </w:rPr>
        <w:t>миотропной</w:t>
      </w:r>
      <w:proofErr w:type="spellEnd"/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 форме ящур может протекать без образования афт. У восприимчивых животных проявляются высокая температура, угнетение, слабость. Гибель восприимчивых животных наступает в течение 1-2 календарных дней вследствие миокардита.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У крупного рогатого скота </w:t>
      </w:r>
      <w:proofErr w:type="spellStart"/>
      <w:r w:rsidRPr="00F60401">
        <w:rPr>
          <w:rFonts w:ascii="Times New Roman" w:hAnsi="Times New Roman" w:cs="Times New Roman"/>
          <w:sz w:val="24"/>
          <w:szCs w:val="24"/>
          <w:lang w:eastAsia="ru-RU"/>
        </w:rPr>
        <w:t>вирусоносительство</w:t>
      </w:r>
      <w:proofErr w:type="spellEnd"/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 может длиться до 6 месяцев, у овец и коз - до 12 месяцев.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>Возбудителем ящура является РНК-содержащий вирус, который отличается значительной антигенной вариабельностью. Существует семь типов вируса. Восприимчивые животные, переболевшие ящуром, вызванным вирусом одного типа, могут заболевать ящуром, вызванным вирусом другого типа.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0401">
        <w:rPr>
          <w:rFonts w:ascii="Times New Roman" w:hAnsi="Times New Roman" w:cs="Times New Roman"/>
          <w:sz w:val="24"/>
          <w:szCs w:val="24"/>
          <w:lang w:eastAsia="ru-RU"/>
        </w:rPr>
        <w:t>Инкубационный период болезни составляет до 14 календарных дней.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>Источником вируса являются больные, переболевшие, а также находящиеся в инкубационном периоде, не имеющие клинических признаков и выделяющие вирус во внешнюю среду восприимчивые животные (далее - вирусоносители).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>Передача вируса осуществляется воздушно-капельным, контактным, алиментарным и ятрогенным путями. Факторами передачи вируса являются продукция животного происхождения, корма, одежда и обувь персонала, обслуживающего восприимчивых животных, инвентарь и иные материально-технические средства, контаминированные вирусом.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5884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предотвращения возникновения и распространения ящура физические и юридические лица, индивидуальные предприниматели, являющиеся собственниками (владельцами) </w:t>
      </w:r>
      <w:r w:rsidR="002B5884">
        <w:rPr>
          <w:rFonts w:ascii="Times New Roman" w:hAnsi="Times New Roman" w:cs="Times New Roman"/>
          <w:sz w:val="24"/>
          <w:szCs w:val="24"/>
          <w:lang w:eastAsia="ru-RU"/>
        </w:rPr>
        <w:t>восприимчивых животных</w:t>
      </w:r>
      <w:r w:rsidRPr="002B588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604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обязаны: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>- предоставлять по требованиям специалистов органов и организаций, входящих в систему Государственной ветеринарной службы РФ, восприимчивых животных для осмотра;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- извещать в течение 24 часов специалистов </w:t>
      </w:r>
      <w:proofErr w:type="spellStart"/>
      <w:r w:rsidRPr="00F60401">
        <w:rPr>
          <w:rFonts w:ascii="Times New Roman" w:hAnsi="Times New Roman" w:cs="Times New Roman"/>
          <w:sz w:val="24"/>
          <w:szCs w:val="24"/>
          <w:lang w:eastAsia="ru-RU"/>
        </w:rPr>
        <w:t>госветслужбы</w:t>
      </w:r>
      <w:proofErr w:type="spellEnd"/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 обо всех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>- принимать меры по изоляции подозреваемых в заболевании восприимчивых животных, а также восприимчивых животных, находившихся в контакте с подозреваемыми в заболевании ящуром восприимчивыми животными, обеспечить изоляцию трупов восприимчивых животных;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- выполнять требования специалистов </w:t>
      </w:r>
      <w:proofErr w:type="spellStart"/>
      <w:r w:rsidRPr="00F60401">
        <w:rPr>
          <w:rFonts w:ascii="Times New Roman" w:hAnsi="Times New Roman" w:cs="Times New Roman"/>
          <w:sz w:val="24"/>
          <w:szCs w:val="24"/>
          <w:lang w:eastAsia="ru-RU"/>
        </w:rPr>
        <w:t>госветслужбы</w:t>
      </w:r>
      <w:proofErr w:type="spellEnd"/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восприимчивые животные, противоэпизоотических и других мероприятий, предусмотренных настоящими Правилами;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>- соблюдать условия, запреты, ограничения в связи со статусом региона (по решению о регионализации),</w:t>
      </w:r>
    </w:p>
    <w:p w:rsidR="00C25E13" w:rsidRPr="00F60401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>- не допускать смешивания восприимчивых животных из разных стад при их выпасе и водопое.</w:t>
      </w:r>
    </w:p>
    <w:p w:rsidR="00C25E13" w:rsidRPr="00897D9A" w:rsidRDefault="00C25E13" w:rsidP="00C25E13">
      <w:pPr>
        <w:pStyle w:val="ab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0401">
        <w:rPr>
          <w:rFonts w:ascii="Times New Roman" w:hAnsi="Times New Roman" w:cs="Times New Roman"/>
          <w:sz w:val="24"/>
          <w:szCs w:val="24"/>
          <w:lang w:eastAsia="ru-RU"/>
        </w:rPr>
        <w:t xml:space="preserve">При обнаружении трупов домашних и(или) диких животных, при заболевании принадлежащих Вам животных или изменениях в их поведении, необходимо незамедлительно обратиться в государственную ветеринарную службу. Единый контактный телефон противоэпизоотического отряда КГБУ «Хабаровская краевая станция по борьбе с болезнями животных» 8(4212) 918467, </w:t>
      </w:r>
      <w:r w:rsidRPr="00897D9A">
        <w:rPr>
          <w:rFonts w:ascii="Times New Roman" w:hAnsi="Times New Roman" w:cs="Times New Roman"/>
          <w:b/>
          <w:sz w:val="24"/>
          <w:szCs w:val="24"/>
          <w:lang w:eastAsia="ru-RU"/>
        </w:rPr>
        <w:t>контактные телефоны по районам обслуживания размещены на сайте учреждения по адресу https://khabkraisbbz.ru/contacts/</w:t>
      </w:r>
    </w:p>
    <w:p w:rsidR="00906FB9" w:rsidRPr="00906FB9" w:rsidRDefault="00DF3C06" w:rsidP="00906FB9">
      <w:pPr>
        <w:spacing w:after="0" w:line="240" w:lineRule="auto"/>
        <w:ind w:hanging="142"/>
        <w:jc w:val="center"/>
        <w:rPr>
          <w:sz w:val="26"/>
          <w:szCs w:val="26"/>
        </w:rPr>
      </w:pPr>
      <w:r>
        <w:rPr>
          <w:rFonts w:eastAsia="Times New Roman"/>
          <w:iCs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11AC4" wp14:editId="043C93E5">
                <wp:simplePos x="0" y="0"/>
                <wp:positionH relativeFrom="margin">
                  <wp:posOffset>3660775</wp:posOffset>
                </wp:positionH>
                <wp:positionV relativeFrom="paragraph">
                  <wp:posOffset>65405</wp:posOffset>
                </wp:positionV>
                <wp:extent cx="2667000" cy="2952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3F9" w:rsidRDefault="003A43F9" w:rsidP="003A43F9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Пресс – центр «Служба спасения 112»</w:t>
                            </w:r>
                          </w:p>
                          <w:p w:rsidR="003A43F9" w:rsidRDefault="003A43F9" w:rsidP="003A43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11AC4" id="Прямоугольник 2" o:spid="_x0000_s1029" style="position:absolute;left:0;text-align:left;margin-left:288.25pt;margin-top:5.15pt;width:210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SAmwIAAE0FAAAOAAAAZHJzL2Uyb0RvYy54bWysVM1uEzEQviPxDpbvdDdLm9KomypqVYRU&#10;tRUt6tnx2s0Kr8fYTjbhhMQViUfgIbggfvoMmzdi7N1sS8kJcbFnPPPN//jwaFkpshDWlaBzOthJ&#10;KRGaQ1Hq25y+uT599oIS55kumAItcroSjh6Nnz45rM1IZDADVQhL0Ih2o9rkdOa9GSWJ4zNRMbcD&#10;RmgUSrAV88ja26SwrEbrlUqyNB0mNdjCWODCOXw9aYV0HO1LKbi/kNIJT1ROMTYfTxvPaTiT8SEb&#10;3VpmZiXvwmD/EEXFSo1Oe1MnzDMyt+VfpqqSW3Ag/Q6HKgEpSy5iDpjNIH2UzdWMGRFzweI405fJ&#10;/T+z/HxxaUlZ5DSjRLMKW9R8WX9Yf25+Nnfrj83X5q75sf7U/Gq+Nd9JFupVGzdC2JW5tB3nkAzJ&#10;L6Wtwo1pkWWs8aqvsVh6wvExGw730xRbwVGWHexl+3vBaHKPNtb5lwIqEoicWuxhLC1bnDnfqm5U&#10;gjOlw6nhtFSqlYaXJETZxhUpv1Ki1X4tJOYbIolW46SJY2XJguGMMM6F9sMuJKVRO8AkGu+Bg21A&#10;5QcdqNMNMBEnsAem24B/euwR0Sto34OrUoPdZqB423tu9TfZtzmH9P1yuoxNfh5iDC9TKFbYeAvt&#10;RjjDT0ss9xlz/pJZXAHsEK61v8BDKqhzCh1FyQzs+23vQR8nE6WU1LhSOXXv5swKStQrjTN7MNjd&#10;DTsYmd29/QwZ+1AyfSjR8+oYsCMD/EAMj2TQ92pDSgvVDW7/JHhFEdMcfeeUe7thjn276vh/cDGZ&#10;RDXcO8P8mb4yPBgPdQ7jdL28YdZ0M+dxWs9hs35s9Gj0Wt2A1DCZe5BlnMv7unYdwJ2Nk939L+FT&#10;eMhHrftfcPwbAAD//wMAUEsDBBQABgAIAAAAIQBNwdyE4AAAAAkBAAAPAAAAZHJzL2Rvd25yZXYu&#10;eG1sTI/BTsMwDIbvSLxDZCRuLIVu7VaaTmhi4sABUZi0Y9Z4baFxuibbytvjneBof79+f86Xo+3E&#10;CQffOlJwP4lAIFXOtFQr+PxY381B+KDJ6M4RKvhBD8vi+irXmXFnesdTGWrBJeQzraAJoc+k9FWD&#10;VvuJ65GY7d1gdeBxqKUZ9JnLbScfoiiRVrfEFxrd46rB6rs8WgWvX+YwrbfPb3GbrtLNYfpSrvex&#10;Urc349MjiIBj+AvDRZ/VoWCnnTuS8aJTMEuTGUcZRDEIDiwWl8WOSTIHWeTy/wfFLwAAAP//AwBQ&#10;SwECLQAUAAYACAAAACEAtoM4kv4AAADhAQAAEwAAAAAAAAAAAAAAAAAAAAAAW0NvbnRlbnRfVHlw&#10;ZXNdLnhtbFBLAQItABQABgAIAAAAIQA4/SH/1gAAAJQBAAALAAAAAAAAAAAAAAAAAC8BAABfcmVs&#10;cy8ucmVsc1BLAQItABQABgAIAAAAIQAbsuSAmwIAAE0FAAAOAAAAAAAAAAAAAAAAAC4CAABkcnMv&#10;ZTJvRG9jLnhtbFBLAQItABQABgAIAAAAIQBNwdyE4AAAAAkBAAAPAAAAAAAAAAAAAAAAAPUEAABk&#10;cnMvZG93bnJldi54bWxQSwUGAAAAAAQABADzAAAAAgYAAAAA&#10;" fillcolor="white [3201]" stroked="f" strokeweight="1pt">
                <v:textbox>
                  <w:txbxContent>
                    <w:p w:rsidR="003A43F9" w:rsidRDefault="003A43F9" w:rsidP="003A43F9">
                      <w:pPr>
                        <w:jc w:val="right"/>
                      </w:pPr>
                      <w:r>
                        <w:rPr>
                          <w:sz w:val="22"/>
                          <w:szCs w:val="22"/>
                        </w:rPr>
                        <w:t>Пресс – центр «Служба спасения 112»</w:t>
                      </w:r>
                    </w:p>
                    <w:p w:rsidR="003A43F9" w:rsidRDefault="003A43F9" w:rsidP="003A43F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6FB9" w:rsidRPr="00906FB9" w:rsidRDefault="00906FB9" w:rsidP="00906FB9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</w:p>
    <w:sectPr w:rsidR="00906FB9" w:rsidRPr="00906FB9" w:rsidSect="00906FB9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4A4"/>
    <w:multiLevelType w:val="multilevel"/>
    <w:tmpl w:val="B480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D0A04"/>
    <w:multiLevelType w:val="hybridMultilevel"/>
    <w:tmpl w:val="DFCAF0B8"/>
    <w:lvl w:ilvl="0" w:tplc="7B3E76DA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486B8B0">
      <w:numFmt w:val="bullet"/>
      <w:lvlText w:val="•"/>
      <w:lvlJc w:val="left"/>
      <w:pPr>
        <w:ind w:left="1224" w:hanging="163"/>
      </w:pPr>
      <w:rPr>
        <w:rFonts w:hint="default"/>
        <w:lang w:val="ru-RU" w:eastAsia="en-US" w:bidi="ar-SA"/>
      </w:rPr>
    </w:lvl>
    <w:lvl w:ilvl="2" w:tplc="C73241E0">
      <w:numFmt w:val="bullet"/>
      <w:lvlText w:val="•"/>
      <w:lvlJc w:val="left"/>
      <w:pPr>
        <w:ind w:left="2328" w:hanging="163"/>
      </w:pPr>
      <w:rPr>
        <w:rFonts w:hint="default"/>
        <w:lang w:val="ru-RU" w:eastAsia="en-US" w:bidi="ar-SA"/>
      </w:rPr>
    </w:lvl>
    <w:lvl w:ilvl="3" w:tplc="BF104AC8">
      <w:numFmt w:val="bullet"/>
      <w:lvlText w:val="•"/>
      <w:lvlJc w:val="left"/>
      <w:pPr>
        <w:ind w:left="3432" w:hanging="163"/>
      </w:pPr>
      <w:rPr>
        <w:rFonts w:hint="default"/>
        <w:lang w:val="ru-RU" w:eastAsia="en-US" w:bidi="ar-SA"/>
      </w:rPr>
    </w:lvl>
    <w:lvl w:ilvl="4" w:tplc="532659FE">
      <w:numFmt w:val="bullet"/>
      <w:lvlText w:val="•"/>
      <w:lvlJc w:val="left"/>
      <w:pPr>
        <w:ind w:left="4536" w:hanging="163"/>
      </w:pPr>
      <w:rPr>
        <w:rFonts w:hint="default"/>
        <w:lang w:val="ru-RU" w:eastAsia="en-US" w:bidi="ar-SA"/>
      </w:rPr>
    </w:lvl>
    <w:lvl w:ilvl="5" w:tplc="EB3261FE">
      <w:numFmt w:val="bullet"/>
      <w:lvlText w:val="•"/>
      <w:lvlJc w:val="left"/>
      <w:pPr>
        <w:ind w:left="5640" w:hanging="163"/>
      </w:pPr>
      <w:rPr>
        <w:rFonts w:hint="default"/>
        <w:lang w:val="ru-RU" w:eastAsia="en-US" w:bidi="ar-SA"/>
      </w:rPr>
    </w:lvl>
    <w:lvl w:ilvl="6" w:tplc="BAD0413C">
      <w:numFmt w:val="bullet"/>
      <w:lvlText w:val="•"/>
      <w:lvlJc w:val="left"/>
      <w:pPr>
        <w:ind w:left="6744" w:hanging="163"/>
      </w:pPr>
      <w:rPr>
        <w:rFonts w:hint="default"/>
        <w:lang w:val="ru-RU" w:eastAsia="en-US" w:bidi="ar-SA"/>
      </w:rPr>
    </w:lvl>
    <w:lvl w:ilvl="7" w:tplc="2D58F8A8">
      <w:numFmt w:val="bullet"/>
      <w:lvlText w:val="•"/>
      <w:lvlJc w:val="left"/>
      <w:pPr>
        <w:ind w:left="7848" w:hanging="163"/>
      </w:pPr>
      <w:rPr>
        <w:rFonts w:hint="default"/>
        <w:lang w:val="ru-RU" w:eastAsia="en-US" w:bidi="ar-SA"/>
      </w:rPr>
    </w:lvl>
    <w:lvl w:ilvl="8" w:tplc="E3D4D776">
      <w:numFmt w:val="bullet"/>
      <w:lvlText w:val="•"/>
      <w:lvlJc w:val="left"/>
      <w:pPr>
        <w:ind w:left="8952" w:hanging="163"/>
      </w:pPr>
      <w:rPr>
        <w:rFonts w:hint="default"/>
        <w:lang w:val="ru-RU" w:eastAsia="en-US" w:bidi="ar-SA"/>
      </w:rPr>
    </w:lvl>
  </w:abstractNum>
  <w:abstractNum w:abstractNumId="2" w15:restartNumberingAfterBreak="0">
    <w:nsid w:val="33A6134E"/>
    <w:multiLevelType w:val="multilevel"/>
    <w:tmpl w:val="B76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25C23"/>
    <w:multiLevelType w:val="multilevel"/>
    <w:tmpl w:val="0AE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2E"/>
    <w:rsid w:val="001B2ED4"/>
    <w:rsid w:val="002B5884"/>
    <w:rsid w:val="003A43F9"/>
    <w:rsid w:val="004C5DF2"/>
    <w:rsid w:val="004D0E50"/>
    <w:rsid w:val="00582CC4"/>
    <w:rsid w:val="005E505F"/>
    <w:rsid w:val="00602996"/>
    <w:rsid w:val="006E4132"/>
    <w:rsid w:val="007A0202"/>
    <w:rsid w:val="007A6451"/>
    <w:rsid w:val="00897D9A"/>
    <w:rsid w:val="00906FB9"/>
    <w:rsid w:val="00A4042E"/>
    <w:rsid w:val="00AB78DC"/>
    <w:rsid w:val="00AC0918"/>
    <w:rsid w:val="00BC3107"/>
    <w:rsid w:val="00C25E13"/>
    <w:rsid w:val="00C26888"/>
    <w:rsid w:val="00D00EF8"/>
    <w:rsid w:val="00D615CE"/>
    <w:rsid w:val="00DC13DE"/>
    <w:rsid w:val="00DF3C06"/>
    <w:rsid w:val="00E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D750"/>
  <w15:chartTrackingRefBased/>
  <w15:docId w15:val="{B32D216D-6B16-4B1A-8C57-4FE8A868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C4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1">
    <w:name w:val="heading 1"/>
    <w:basedOn w:val="a"/>
    <w:link w:val="10"/>
    <w:uiPriority w:val="9"/>
    <w:qFormat/>
    <w:rsid w:val="00582CC4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2CC4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customStyle="1" w:styleId="apple-converted-space">
    <w:name w:val="apple-converted-space"/>
    <w:basedOn w:val="a0"/>
    <w:rsid w:val="00582CC4"/>
  </w:style>
  <w:style w:type="character" w:styleId="a4">
    <w:name w:val="Emphasis"/>
    <w:basedOn w:val="a0"/>
    <w:uiPriority w:val="20"/>
    <w:qFormat/>
    <w:rsid w:val="00582CC4"/>
    <w:rPr>
      <w:i/>
      <w:iCs/>
    </w:rPr>
  </w:style>
  <w:style w:type="character" w:styleId="a5">
    <w:name w:val="Strong"/>
    <w:basedOn w:val="a0"/>
    <w:uiPriority w:val="22"/>
    <w:qFormat/>
    <w:rsid w:val="00582C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50"/>
    <w:rPr>
      <w:rFonts w:ascii="Segoe UI" w:eastAsia="Calibri" w:hAnsi="Segoe UI" w:cs="Segoe UI"/>
      <w:b/>
      <w:sz w:val="18"/>
      <w:szCs w:val="18"/>
    </w:rPr>
  </w:style>
  <w:style w:type="paragraph" w:styleId="a8">
    <w:name w:val="Body Text"/>
    <w:basedOn w:val="a"/>
    <w:link w:val="a9"/>
    <w:uiPriority w:val="1"/>
    <w:qFormat/>
    <w:rsid w:val="00BC3107"/>
    <w:pPr>
      <w:widowControl w:val="0"/>
      <w:autoSpaceDE w:val="0"/>
      <w:autoSpaceDN w:val="0"/>
      <w:spacing w:after="0" w:line="240" w:lineRule="auto"/>
      <w:ind w:left="110" w:firstLine="708"/>
      <w:jc w:val="both"/>
    </w:pPr>
    <w:rPr>
      <w:rFonts w:eastAsia="Times New Roman"/>
      <w:b w:val="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C310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BC3107"/>
    <w:pPr>
      <w:widowControl w:val="0"/>
      <w:autoSpaceDE w:val="0"/>
      <w:autoSpaceDN w:val="0"/>
      <w:spacing w:after="0" w:line="240" w:lineRule="auto"/>
      <w:ind w:left="110"/>
    </w:pPr>
    <w:rPr>
      <w:rFonts w:eastAsia="Times New Roman"/>
      <w:b w:val="0"/>
      <w:sz w:val="22"/>
      <w:szCs w:val="22"/>
    </w:rPr>
  </w:style>
  <w:style w:type="paragraph" w:styleId="ab">
    <w:name w:val="No Spacing"/>
    <w:uiPriority w:val="1"/>
    <w:qFormat/>
    <w:rsid w:val="00C25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KRASILNIKOVAIP</dc:creator>
  <cp:keywords/>
  <dc:description/>
  <cp:lastModifiedBy>KRASILNIKOVAIP</cp:lastModifiedBy>
  <cp:revision>6</cp:revision>
  <cp:lastPrinted>2024-08-14T22:47:00Z</cp:lastPrinted>
  <dcterms:created xsi:type="dcterms:W3CDTF">2024-08-14T07:23:00Z</dcterms:created>
  <dcterms:modified xsi:type="dcterms:W3CDTF">2024-08-15T00:24:00Z</dcterms:modified>
</cp:coreProperties>
</file>