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  <w:sectPr w:rsidR="00631C6D" w:rsidSect="00631C6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>
        <w:rPr>
          <w:rStyle w:val="213pt"/>
          <w:rFonts w:eastAsiaTheme="minorHAnsi"/>
        </w:rPr>
        <w:tab/>
      </w:r>
    </w:p>
    <w:p w:rsidR="00631C6D" w:rsidRDefault="00044B11" w:rsidP="00631C6D">
      <w:pPr>
        <w:spacing w:after="0" w:line="240" w:lineRule="auto"/>
        <w:jc w:val="both"/>
        <w:rPr>
          <w:rStyle w:val="213pt"/>
          <w:rFonts w:eastAsiaTheme="minorHAnsi"/>
        </w:rPr>
      </w:pPr>
      <w:r>
        <w:rPr>
          <w:noProof/>
          <w:color w:val="000000"/>
          <w:lang w:eastAsia="ru-RU" w:bidi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198120</wp:posOffset>
            </wp:positionV>
            <wp:extent cx="2381250" cy="2352675"/>
            <wp:effectExtent l="0" t="0" r="0" b="9525"/>
            <wp:wrapTight wrapText="bothSides">
              <wp:wrapPolygon edited="0">
                <wp:start x="3110" y="0"/>
                <wp:lineTo x="518" y="0"/>
                <wp:lineTo x="0" y="525"/>
                <wp:lineTo x="0" y="21513"/>
                <wp:lineTo x="20909" y="21513"/>
                <wp:lineTo x="21427" y="525"/>
                <wp:lineTo x="18144" y="0"/>
                <wp:lineTo x="5875" y="0"/>
                <wp:lineTo x="311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nam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044B11" w:rsidRPr="00044B11" w:rsidRDefault="00044B11" w:rsidP="00044B11">
      <w:pPr>
        <w:pStyle w:val="120"/>
        <w:shd w:val="clear" w:color="auto" w:fill="auto"/>
        <w:ind w:right="-11"/>
        <w:jc w:val="both"/>
        <w:rPr>
          <w:b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Pr="00044B11">
        <w:rPr>
          <w:b w:val="0"/>
          <w:color w:val="000000"/>
          <w:lang w:eastAsia="ru-RU" w:bidi="ru-RU"/>
        </w:rPr>
        <w:t>Уголовный кодекс Российской Федерации предусматривает уголовную ответственность как за получение взятки (</w:t>
      </w:r>
      <w:r w:rsidRPr="00F277B4">
        <w:rPr>
          <w:color w:val="000000"/>
          <w:lang w:eastAsia="ru-RU" w:bidi="ru-RU"/>
        </w:rPr>
        <w:t>ст. 290 УК РФ</w:t>
      </w:r>
      <w:r w:rsidRPr="00044B11">
        <w:rPr>
          <w:b w:val="0"/>
          <w:color w:val="000000"/>
          <w:lang w:eastAsia="ru-RU" w:bidi="ru-RU"/>
        </w:rPr>
        <w:t>), так и за дачу взятки (</w:t>
      </w:r>
      <w:r w:rsidRPr="00F277B4">
        <w:rPr>
          <w:color w:val="000000"/>
          <w:lang w:eastAsia="ru-RU" w:bidi="ru-RU"/>
        </w:rPr>
        <w:t>ст. 291 УК РФ</w:t>
      </w:r>
      <w:r w:rsidRPr="00044B11">
        <w:rPr>
          <w:b w:val="0"/>
          <w:color w:val="000000"/>
          <w:lang w:eastAsia="ru-RU" w:bidi="ru-RU"/>
        </w:rPr>
        <w:t>) и посредничество во взяточничестве (</w:t>
      </w:r>
      <w:bookmarkStart w:id="0" w:name="_GoBack"/>
      <w:r w:rsidRPr="00F277B4">
        <w:rPr>
          <w:color w:val="000000"/>
          <w:lang w:eastAsia="ru-RU" w:bidi="ru-RU"/>
        </w:rPr>
        <w:t>ст. 291.1 УК РФ</w:t>
      </w:r>
      <w:bookmarkEnd w:id="0"/>
      <w:r w:rsidRPr="00044B11">
        <w:rPr>
          <w:b w:val="0"/>
          <w:color w:val="000000"/>
          <w:lang w:eastAsia="ru-RU" w:bidi="ru-RU"/>
        </w:rPr>
        <w:t>).</w:t>
      </w:r>
    </w:p>
    <w:p w:rsidR="00631C6D" w:rsidRPr="00044B11" w:rsidRDefault="00631C6D" w:rsidP="00631C6D">
      <w:pPr>
        <w:spacing w:after="0" w:line="240" w:lineRule="auto"/>
        <w:jc w:val="both"/>
        <w:rPr>
          <w:rStyle w:val="213pt"/>
          <w:rFonts w:eastAsiaTheme="minorHAnsi"/>
          <w:b w:val="0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766AEA">
      <w:pPr>
        <w:spacing w:after="0" w:line="240" w:lineRule="auto"/>
        <w:ind w:left="709"/>
        <w:jc w:val="center"/>
        <w:rPr>
          <w:rStyle w:val="213pt"/>
          <w:rFonts w:eastAsiaTheme="minorHAnsi"/>
        </w:rPr>
      </w:pPr>
      <w:r>
        <w:rPr>
          <w:rStyle w:val="213pt"/>
          <w:rFonts w:eastAsiaTheme="minorHAnsi"/>
          <w:noProof/>
        </w:rPr>
        <w:drawing>
          <wp:inline distT="0" distB="0" distL="0" distR="0" wp14:anchorId="6924B4BB">
            <wp:extent cx="118872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Pr="00766AEA" w:rsidRDefault="00631C6D" w:rsidP="00766AEA">
      <w:pPr>
        <w:spacing w:line="240" w:lineRule="exac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66AEA">
        <w:rPr>
          <w:rFonts w:ascii="Times New Roman" w:hAnsi="Times New Roman" w:cs="Times New Roman"/>
          <w:sz w:val="24"/>
          <w:szCs w:val="24"/>
        </w:rPr>
        <w:t>Комсомольская-на-Амуре межрайонная природоохранная прокуратура</w:t>
      </w: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766AEA" w:rsidRDefault="00766AEA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766AEA" w:rsidRDefault="00766AEA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766AEA" w:rsidRDefault="00766AEA" w:rsidP="00766AEA">
      <w:pPr>
        <w:spacing w:after="0" w:line="240" w:lineRule="auto"/>
        <w:ind w:left="709"/>
        <w:jc w:val="center"/>
        <w:rPr>
          <w:rStyle w:val="213pt"/>
          <w:rFonts w:eastAsiaTheme="minorHAnsi"/>
        </w:rPr>
      </w:pPr>
      <w:r>
        <w:rPr>
          <w:rStyle w:val="213pt"/>
          <w:rFonts w:eastAsiaTheme="minorHAnsi"/>
        </w:rPr>
        <w:t xml:space="preserve">ОТВЕТСТВЕННОСТЬ </w:t>
      </w:r>
    </w:p>
    <w:p w:rsidR="00631C6D" w:rsidRDefault="00766AEA" w:rsidP="00766AEA">
      <w:pPr>
        <w:spacing w:after="0" w:line="240" w:lineRule="auto"/>
        <w:ind w:left="709"/>
        <w:jc w:val="center"/>
        <w:rPr>
          <w:rStyle w:val="213pt"/>
          <w:rFonts w:eastAsiaTheme="minorHAnsi"/>
        </w:rPr>
      </w:pPr>
      <w:r>
        <w:rPr>
          <w:rStyle w:val="213pt"/>
          <w:rFonts w:eastAsiaTheme="minorHAnsi"/>
        </w:rPr>
        <w:t>ЗА НАРУШЕНИЕ АНТИКОРРУПЦИОННОГО ЗАКОНОДАТЕЛЬСТВА</w:t>
      </w: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766AEA">
      <w:pPr>
        <w:spacing w:after="0" w:line="240" w:lineRule="auto"/>
        <w:ind w:left="709"/>
        <w:jc w:val="both"/>
        <w:rPr>
          <w:rStyle w:val="213pt"/>
          <w:rFonts w:eastAsiaTheme="minorHAnsi"/>
        </w:rPr>
      </w:pPr>
    </w:p>
    <w:p w:rsidR="00631C6D" w:rsidRDefault="00766AEA" w:rsidP="00090BD2">
      <w:pPr>
        <w:spacing w:after="0" w:line="240" w:lineRule="auto"/>
        <w:ind w:left="284"/>
        <w:jc w:val="center"/>
        <w:rPr>
          <w:rStyle w:val="213pt"/>
          <w:rFonts w:eastAsiaTheme="minorHAnsi"/>
        </w:rPr>
      </w:pPr>
      <w:r>
        <w:rPr>
          <w:rStyle w:val="213pt"/>
          <w:rFonts w:eastAsiaTheme="minorHAnsi"/>
        </w:rPr>
        <w:t>2024 г.</w:t>
      </w: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  <w:sectPr w:rsidR="00631C6D" w:rsidSect="00766AEA">
          <w:type w:val="continuous"/>
          <w:pgSz w:w="16838" w:h="11906" w:orient="landscape"/>
          <w:pgMar w:top="709" w:right="678" w:bottom="850" w:left="1134" w:header="708" w:footer="708" w:gutter="0"/>
          <w:cols w:num="3" w:space="708"/>
          <w:docGrid w:linePitch="360"/>
        </w:sectPr>
      </w:pPr>
    </w:p>
    <w:p w:rsidR="00631C6D" w:rsidRDefault="00631C6D" w:rsidP="00631C6D">
      <w:pPr>
        <w:spacing w:after="0" w:line="240" w:lineRule="auto"/>
        <w:jc w:val="both"/>
        <w:rPr>
          <w:rStyle w:val="213pt"/>
          <w:rFonts w:eastAsiaTheme="minorHAnsi"/>
        </w:rPr>
      </w:pPr>
    </w:p>
    <w:p w:rsidR="00044B11" w:rsidRDefault="00044B11" w:rsidP="00631C6D">
      <w:pPr>
        <w:spacing w:after="0" w:line="240" w:lineRule="auto"/>
        <w:jc w:val="both"/>
        <w:rPr>
          <w:rStyle w:val="213pt"/>
          <w:rFonts w:eastAsiaTheme="minorHAnsi"/>
        </w:rPr>
        <w:sectPr w:rsidR="00044B11" w:rsidSect="00631C6D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631C6D" w:rsidRDefault="00044B11" w:rsidP="00631C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 w:bidi="ru-RU"/>
        </w:rPr>
        <w:drawing>
          <wp:inline distT="0" distB="0" distL="0" distR="0" wp14:anchorId="25E26067" wp14:editId="78990823">
            <wp:extent cx="2783840" cy="27838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(5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C6D">
        <w:rPr>
          <w:rStyle w:val="213pt"/>
          <w:rFonts w:eastAsiaTheme="minorHAnsi"/>
          <w:b w:val="0"/>
          <w:sz w:val="28"/>
          <w:szCs w:val="28"/>
        </w:rPr>
        <w:tab/>
      </w:r>
      <w:r w:rsidR="00631C6D" w:rsidRPr="00631C6D">
        <w:rPr>
          <w:rStyle w:val="213pt"/>
          <w:rFonts w:eastAsiaTheme="minorHAnsi"/>
          <w:b w:val="0"/>
          <w:sz w:val="28"/>
          <w:szCs w:val="28"/>
        </w:rPr>
        <w:t xml:space="preserve">Работодатель </w:t>
      </w:r>
      <w:r w:rsidR="00631C6D" w:rsidRPr="00631C6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 согласно установленному перечню в течение 2 лет после его увольнения с государственной или муниципальной службы обязан в 10-дневный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 w:rsidR="00631C6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31C6D" w:rsidRPr="00044B11" w:rsidRDefault="00631C6D" w:rsidP="00631C6D">
      <w:pPr>
        <w:pStyle w:val="100"/>
        <w:shd w:val="clear" w:color="auto" w:fill="auto"/>
        <w:tabs>
          <w:tab w:val="left" w:pos="3046"/>
        </w:tabs>
        <w:spacing w:line="240" w:lineRule="auto"/>
        <w:ind w:right="-11"/>
        <w:rPr>
          <w:sz w:val="28"/>
          <w:szCs w:val="28"/>
        </w:rPr>
      </w:pPr>
      <w:r w:rsidRPr="00044B11">
        <w:rPr>
          <w:color w:val="000000"/>
          <w:sz w:val="28"/>
          <w:szCs w:val="28"/>
          <w:lang w:eastAsia="ru-RU" w:bidi="ru-RU"/>
        </w:rPr>
        <w:t>В случае</w:t>
      </w:r>
      <w:r w:rsidRPr="00044B11">
        <w:rPr>
          <w:color w:val="000000"/>
          <w:sz w:val="28"/>
          <w:szCs w:val="28"/>
          <w:lang w:eastAsia="ru-RU" w:bidi="ru-RU"/>
        </w:rPr>
        <w:t xml:space="preserve"> </w:t>
      </w:r>
      <w:r w:rsidRPr="00044B11">
        <w:rPr>
          <w:color w:val="000000"/>
          <w:sz w:val="28"/>
          <w:szCs w:val="28"/>
          <w:lang w:eastAsia="ru-RU" w:bidi="ru-RU"/>
        </w:rPr>
        <w:t>невыполнения</w:t>
      </w:r>
      <w:r w:rsidRPr="00044B11">
        <w:rPr>
          <w:color w:val="000000"/>
          <w:sz w:val="28"/>
          <w:szCs w:val="28"/>
          <w:lang w:eastAsia="ru-RU" w:bidi="ru-RU"/>
        </w:rPr>
        <w:t xml:space="preserve"> </w:t>
      </w:r>
      <w:r w:rsidRPr="00044B11">
        <w:rPr>
          <w:rStyle w:val="111"/>
          <w:i w:val="0"/>
          <w:sz w:val="28"/>
          <w:szCs w:val="28"/>
        </w:rPr>
        <w:t xml:space="preserve">указанного требования </w:t>
      </w:r>
      <w:r w:rsidRPr="00044B11">
        <w:rPr>
          <w:rStyle w:val="112"/>
          <w:b w:val="0"/>
          <w:i w:val="0"/>
          <w:sz w:val="28"/>
          <w:szCs w:val="28"/>
        </w:rPr>
        <w:t xml:space="preserve">у юридического и должностного лица наступает ответственность по </w:t>
      </w:r>
      <w:r w:rsidRPr="00044B11">
        <w:rPr>
          <w:rStyle w:val="112"/>
          <w:i w:val="0"/>
          <w:sz w:val="28"/>
          <w:szCs w:val="28"/>
        </w:rPr>
        <w:t>ст.</w:t>
      </w:r>
      <w:r w:rsidR="00044B11" w:rsidRPr="00044B11">
        <w:rPr>
          <w:rStyle w:val="112"/>
          <w:i w:val="0"/>
          <w:sz w:val="28"/>
          <w:szCs w:val="28"/>
        </w:rPr>
        <w:t> </w:t>
      </w:r>
      <w:r w:rsidRPr="00044B11">
        <w:rPr>
          <w:rStyle w:val="112"/>
          <w:i w:val="0"/>
          <w:sz w:val="28"/>
          <w:szCs w:val="28"/>
        </w:rPr>
        <w:t xml:space="preserve">19.29 </w:t>
      </w:r>
      <w:r w:rsidRPr="00044B11">
        <w:rPr>
          <w:rStyle w:val="111"/>
          <w:b/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044B11">
        <w:rPr>
          <w:rStyle w:val="111"/>
          <w:sz w:val="28"/>
          <w:szCs w:val="28"/>
        </w:rPr>
        <w:t xml:space="preserve"> </w:t>
      </w:r>
      <w:r w:rsidRPr="00044B11">
        <w:rPr>
          <w:color w:val="000000"/>
          <w:sz w:val="28"/>
          <w:szCs w:val="28"/>
          <w:lang w:eastAsia="ru-RU" w:bidi="ru-RU"/>
        </w:rPr>
        <w:t>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</w:p>
    <w:p w:rsidR="00631C6D" w:rsidRPr="00044B11" w:rsidRDefault="00044B11" w:rsidP="00631C6D">
      <w:pPr>
        <w:pStyle w:val="10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lang w:eastAsia="ru-RU" w:bidi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297815</wp:posOffset>
            </wp:positionV>
            <wp:extent cx="2783840" cy="2783840"/>
            <wp:effectExtent l="0" t="0" r="0" b="0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1f7e0b9e8d7ad58390fdc97131bfda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C6D" w:rsidRPr="00044B11">
        <w:rPr>
          <w:color w:val="000000"/>
          <w:sz w:val="28"/>
          <w:szCs w:val="28"/>
          <w:lang w:eastAsia="ru-RU" w:bidi="ru-RU"/>
        </w:rPr>
        <w:t>Совершение указанного правонарушения влечет наложение административного штрафа на граждан в размере от 2 тысяч до 4 тысяч рублей; на должностных лиц - от 20 тысяч до 50 тысяч рублей; на юридических лиц - от 100 тысяч до 500 тысяч рублей.</w:t>
      </w:r>
    </w:p>
    <w:p w:rsidR="00631C6D" w:rsidRDefault="00631C6D" w:rsidP="00631C6D">
      <w:pPr>
        <w:pStyle w:val="20"/>
        <w:shd w:val="clear" w:color="auto" w:fill="auto"/>
        <w:ind w:right="111" w:firstLine="640"/>
      </w:pPr>
      <w:r>
        <w:rPr>
          <w:color w:val="000000"/>
          <w:lang w:eastAsia="ru-RU" w:bidi="ru-RU"/>
        </w:rPr>
        <w:t>Статьей 19.28 Кодекса Российской Федерации об административных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правонарушениях предусмотрена ответственность </w:t>
      </w:r>
      <w:r>
        <w:rPr>
          <w:rStyle w:val="21"/>
        </w:rPr>
        <w:t>за незаконное</w:t>
      </w:r>
      <w:r>
        <w:rPr>
          <w:rStyle w:val="21"/>
        </w:rPr>
        <w:t xml:space="preserve"> </w:t>
      </w:r>
      <w:r>
        <w:rPr>
          <w:rStyle w:val="21"/>
        </w:rPr>
        <w:t>вознаграждение от имени юридического лица.</w:t>
      </w:r>
    </w:p>
    <w:p w:rsidR="00631C6D" w:rsidRDefault="00631C6D" w:rsidP="00631C6D">
      <w:pPr>
        <w:pStyle w:val="20"/>
        <w:shd w:val="clear" w:color="auto" w:fill="auto"/>
        <w:ind w:right="-11" w:firstLine="640"/>
      </w:pPr>
      <w:r>
        <w:rPr>
          <w:color w:val="000000"/>
          <w:lang w:eastAsia="ru-RU" w:bidi="ru-RU"/>
        </w:rPr>
        <w:t>Совершение указанного правонарушения влечет наложение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административного штрафа на юридических лиц в размере до стократной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суммы денежных средств, стоимости ценных бумаг, иного имущества, услуг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имущественного характера, иных имущественных прав, незаконно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переданных или оказанных либо обещанных или предложенных от имени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юридического лица, но не менее ста миллионов рублей с конфискацией денег,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ценных бумаг, иного имущества или стоимости услуг имущественного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характера, иных имущественных прав.</w:t>
      </w:r>
    </w:p>
    <w:p w:rsidR="00631C6D" w:rsidRPr="00044B11" w:rsidRDefault="00631C6D" w:rsidP="00044B11">
      <w:pPr>
        <w:pStyle w:val="120"/>
        <w:shd w:val="clear" w:color="auto" w:fill="auto"/>
        <w:ind w:right="-11"/>
        <w:jc w:val="both"/>
        <w:rPr>
          <w:color w:val="000000"/>
          <w:lang w:eastAsia="ru-RU" w:bidi="ru-RU"/>
        </w:rPr>
      </w:pPr>
    </w:p>
    <w:sectPr w:rsidR="00631C6D" w:rsidRPr="00044B11" w:rsidSect="00631C6D">
      <w:type w:val="continuous"/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6D"/>
    <w:rsid w:val="00044B11"/>
    <w:rsid w:val="00090BD2"/>
    <w:rsid w:val="00631C6D"/>
    <w:rsid w:val="00766AEA"/>
    <w:rsid w:val="00F2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C21E"/>
  <w15:chartTrackingRefBased/>
  <w15:docId w15:val="{116B4AEA-DC34-4312-AC8E-C9D4893E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Полужирный"/>
    <w:basedOn w:val="a0"/>
    <w:rsid w:val="00631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631C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631C6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11">
    <w:name w:val="Основной текст (11) + Не курсив"/>
    <w:basedOn w:val="11"/>
    <w:rsid w:val="00631C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2">
    <w:name w:val="Основной текст (11) + Полужирный;Не курсив"/>
    <w:basedOn w:val="11"/>
    <w:rsid w:val="00631C6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631C6D"/>
    <w:pPr>
      <w:widowControl w:val="0"/>
      <w:shd w:val="clear" w:color="auto" w:fill="FFFFFF"/>
      <w:spacing w:after="0" w:line="280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631C6D"/>
    <w:pPr>
      <w:widowControl w:val="0"/>
      <w:shd w:val="clear" w:color="auto" w:fill="FFFFFF"/>
      <w:spacing w:after="0" w:line="2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">
    <w:name w:val="Основной текст (2)_"/>
    <w:basedOn w:val="a0"/>
    <w:link w:val="20"/>
    <w:rsid w:val="00631C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31C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31C6D"/>
    <w:pPr>
      <w:widowControl w:val="0"/>
      <w:shd w:val="clear" w:color="auto" w:fill="FFFFFF"/>
      <w:spacing w:after="0" w:line="312" w:lineRule="exact"/>
      <w:ind w:hanging="6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 (12)_"/>
    <w:basedOn w:val="a0"/>
    <w:link w:val="120"/>
    <w:rsid w:val="00631C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631C6D"/>
    <w:pPr>
      <w:widowControl w:val="0"/>
      <w:shd w:val="clear" w:color="auto" w:fill="FFFFFF"/>
      <w:spacing w:after="0" w:line="31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Бережная Юлия Павловна</cp:lastModifiedBy>
  <cp:revision>1</cp:revision>
  <dcterms:created xsi:type="dcterms:W3CDTF">2024-04-19T06:13:00Z</dcterms:created>
  <dcterms:modified xsi:type="dcterms:W3CDTF">2024-04-19T07:04:00Z</dcterms:modified>
</cp:coreProperties>
</file>