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ind w:left="5812" w:right="566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Приложение № 1 </w:t>
      </w:r>
    </w:p>
    <w:p>
      <w:pPr>
        <w:spacing w:after="0" w:line="240" w:lineRule="auto"/>
        <w:ind w:left="5812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>к письму Отделения по Хабаровскому краю Дальневосточного главного управления Центрального банка Российской Федерации</w:t>
      </w:r>
    </w:p>
    <w:p>
      <w:pPr>
        <w:spacing w:after="0" w:line="240" w:lineRule="auto"/>
        <w:ind w:left="5812"/>
        <w:rPr>
          <w:rFonts w:ascii="Times New Roman" w:eastAsia="Times New Roman" w:hAnsi="Times New Roman" w:cs="Times New Roman"/>
          <w:sz w:val="18"/>
          <w:szCs w:val="18"/>
        </w:rPr>
      </w:pPr>
    </w:p>
    <w:p>
      <w:pPr>
        <w:spacing w:after="0" w:line="240" w:lineRule="auto"/>
        <w:ind w:left="581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от             №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Банком России </w:t>
      </w:r>
      <w:r>
        <w:rPr>
          <w:rFonts w:ascii="Times New Roman" w:hAnsi="Times New Roman" w:cs="Times New Roman"/>
          <w:b/>
          <w:sz w:val="24"/>
          <w:szCs w:val="24"/>
        </w:rPr>
        <w:t>федеральных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вебинаров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субъектов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малого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предпринимательства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2022 </w:t>
      </w:r>
      <w:r>
        <w:rPr>
          <w:rFonts w:ascii="Times New Roman" w:hAnsi="Times New Roman" w:cs="Times New Roman"/>
          <w:b/>
          <w:sz w:val="24"/>
          <w:szCs w:val="24"/>
        </w:rPr>
        <w:t>году</w:t>
      </w:r>
    </w:p>
    <w:tbl>
      <w:tblPr>
        <w:tblStyle w:val="TableGrid"/>
        <w:tblW w:w="10065" w:type="dxa"/>
        <w:tblInd w:w="-431" w:type="dxa"/>
        <w:tblCellMar>
          <w:top w:w="63" w:type="dxa"/>
          <w:left w:w="108" w:type="dxa"/>
        </w:tblCellMar>
        <w:tblLook w:val="04A0" w:firstRow="1" w:lastRow="0" w:firstColumn="1" w:lastColumn="0" w:noHBand="0" w:noVBand="1"/>
      </w:tblPr>
      <w:tblGrid>
        <w:gridCol w:w="559"/>
        <w:gridCol w:w="1823"/>
        <w:gridCol w:w="2538"/>
        <w:gridCol w:w="5145"/>
      </w:tblGrid>
      <w:tr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>
        <w:trPr>
          <w:trHeight w:val="19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сентября 2022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Меры государственной финансовой поддержки малого и среднего предпринимательства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Вебинар о мерах государственной финансовой поддержки малого и среднего предпринимательства. </w:t>
            </w:r>
          </w:p>
          <w:p>
            <w:pPr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Предприниматели узнают:</w:t>
            </w:r>
          </w:p>
          <w:p>
            <w:pPr>
              <w:numPr>
                <w:ilvl w:val="0"/>
                <w:numId w:val="4"/>
              </w:numPr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получить льготный кредит для бизнеса;</w:t>
            </w:r>
          </w:p>
          <w:p>
            <w:pPr>
              <w:numPr>
                <w:ilvl w:val="0"/>
                <w:numId w:val="4"/>
              </w:numPr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получить гарантию или поручительство по кредиту, если нет залога;</w:t>
            </w:r>
          </w:p>
          <w:p>
            <w:pPr>
              <w:numPr>
                <w:ilvl w:val="0"/>
                <w:numId w:val="4"/>
              </w:numPr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компенсировать расходы за прием оплаты через СБП;</w:t>
            </w:r>
          </w:p>
          <w:p>
            <w:pPr>
              <w:numPr>
                <w:ilvl w:val="0"/>
                <w:numId w:val="4"/>
              </w:numPr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привлечь капитал с помощью инструментов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краудфандинга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фондового рынка;</w:t>
            </w:r>
          </w:p>
          <w:p>
            <w:pPr>
              <w:numPr>
                <w:ilvl w:val="0"/>
                <w:numId w:val="4"/>
              </w:numPr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каких ситуациях целесообразно использовать факторинг.</w:t>
            </w:r>
          </w:p>
        </w:tc>
      </w:tr>
      <w:tr>
        <w:trPr>
          <w:trHeight w:val="24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октября 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краудинвестинговых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платформ с целью привлечения средств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использовании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краудфинансовых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платформ для привлечения средств. </w:t>
            </w:r>
          </w:p>
          <w:p>
            <w:pPr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Предприниматели узнают:</w:t>
            </w:r>
          </w:p>
          <w:p>
            <w:pPr>
              <w:numPr>
                <w:ilvl w:val="0"/>
                <w:numId w:val="5"/>
              </w:numPr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механизмах привлечения финансирования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краудплощадки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>
            <w:pPr>
              <w:numPr>
                <w:ilvl w:val="0"/>
                <w:numId w:val="5"/>
              </w:numPr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правильно выбирать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краудплощадку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привлечения финансирования и на что обратить внимание, принимая решение о привлечении финансирования;</w:t>
            </w:r>
          </w:p>
          <w:p>
            <w:pPr>
              <w:numPr>
                <w:ilvl w:val="0"/>
                <w:numId w:val="5"/>
              </w:numPr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меры поддержки предусмотрены для небольших компаний;</w:t>
            </w:r>
          </w:p>
          <w:p>
            <w:pPr>
              <w:numPr>
                <w:ilvl w:val="0"/>
                <w:numId w:val="5"/>
              </w:numPr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каким правилам взаимодействуют инвесторы и заемщики и каковы требования к заемщикам;</w:t>
            </w:r>
          </w:p>
          <w:p>
            <w:pPr>
              <w:numPr>
                <w:ilvl w:val="0"/>
                <w:numId w:val="5"/>
              </w:numPr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реальных историях компаний, получивших финансирование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краудплощадку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>
        <w:trPr>
          <w:trHeight w:val="30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 октября 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Факторинг для бизнеса: 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 и практика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Вебинар о факторинге как современном инструменте пополнения </w:t>
            </w:r>
          </w:p>
          <w:p>
            <w:pPr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оборотных средств. </w:t>
            </w:r>
          </w:p>
          <w:p>
            <w:pPr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Предприниматели узнают:</w:t>
            </w:r>
          </w:p>
          <w:p>
            <w:pPr>
              <w:numPr>
                <w:ilvl w:val="0"/>
                <w:numId w:val="6"/>
              </w:numPr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факторинг, где и когда целесообразно использовать этот финансовый инструмент;</w:t>
            </w:r>
          </w:p>
          <w:p>
            <w:pPr>
              <w:numPr>
                <w:ilvl w:val="0"/>
                <w:numId w:val="6"/>
              </w:numPr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видах достоинствах и рисках различных видов факторинга </w:t>
            </w:r>
          </w:p>
          <w:p>
            <w:pPr>
              <w:numPr>
                <w:ilvl w:val="0"/>
                <w:numId w:val="6"/>
              </w:numPr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выбирать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факторинговую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схему, подходящую для конкретных ситуаций;</w:t>
            </w:r>
          </w:p>
          <w:p>
            <w:pPr>
              <w:numPr>
                <w:ilvl w:val="0"/>
                <w:numId w:val="6"/>
              </w:numPr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что обращать внимание при выборе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факторинговой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компании – партнера – о реальных примерах сотрудничества предприятий МСП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факторинговыми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компаниями;</w:t>
            </w:r>
          </w:p>
          <w:p>
            <w:pPr>
              <w:numPr>
                <w:ilvl w:val="0"/>
                <w:numId w:val="6"/>
              </w:numPr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возможностях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факторинговых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онлайн-платформ и их преимуществах по сравнению с процессом при заключении сделок «на бумаге». </w:t>
            </w:r>
          </w:p>
        </w:tc>
      </w:tr>
      <w:tr>
        <w:trPr>
          <w:trHeight w:val="12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ноября 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Пошаговый план вывода компании на фондовый рынок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Вебинар о том, как оценить собственные возможности и перспективы выхода на биржу и какой поддержкой государства можно для этого воспользоваться. </w:t>
            </w:r>
          </w:p>
          <w:p>
            <w:pPr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 того, предпринимателям предложат пошаговый план вывода компании на биржу и познакомят с реальными примерами выхода на торговые площадки небольших компаний.</w:t>
            </w:r>
          </w:p>
        </w:tc>
      </w:tr>
      <w:tr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29 ноября 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Актуальные вопросы реабилитации бизнеса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о порядке обращения в Межведомственную комиссию при Банке России с заявлениями об обжаловании мер, предусмотренных пунктом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статьи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 Федерального закона от 07.08.2001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</w:tr>
      <w:tr>
        <w:trPr>
          <w:trHeight w:val="16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 декабря 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быстрых платежей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о возможностях для бизнеса при использовании Системы быстрых платежей (СБП). Предприниматели узнают:</w:t>
            </w:r>
          </w:p>
          <w:p>
            <w:pPr>
              <w:numPr>
                <w:ilvl w:val="0"/>
                <w:numId w:val="7"/>
              </w:numPr>
              <w:ind w:left="29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бизнесу подключаться к СБП;</w:t>
            </w:r>
          </w:p>
          <w:p>
            <w:pPr>
              <w:numPr>
                <w:ilvl w:val="0"/>
                <w:numId w:val="7"/>
              </w:numPr>
              <w:ind w:left="29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ключевых преимуществах и выгодах СБП для бизнеса; </w:t>
            </w:r>
          </w:p>
          <w:p>
            <w:pPr>
              <w:numPr>
                <w:ilvl w:val="0"/>
                <w:numId w:val="7"/>
              </w:numPr>
              <w:ind w:left="29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способах оплаты через СБП; </w:t>
            </w:r>
          </w:p>
          <w:p>
            <w:pPr>
              <w:numPr>
                <w:ilvl w:val="0"/>
                <w:numId w:val="7"/>
              </w:numPr>
              <w:ind w:left="29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подключиться к СБП.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>
      <w:pPr>
        <w:pStyle w:val="ab"/>
        <w:spacing w:before="0" w:beforeAutospacing="0" w:after="0" w:afterAutospacing="0"/>
        <w:ind w:left="284"/>
        <w:jc w:val="center"/>
        <w:rPr>
          <w:b/>
        </w:rPr>
      </w:pPr>
      <w:r>
        <w:rPr>
          <w:b/>
        </w:rPr>
        <w:lastRenderedPageBreak/>
        <w:t>Актуальная информация о предстоящих мероприятиях представлена на официальных страницах Банка России:</w:t>
      </w:r>
    </w:p>
    <w:tbl>
      <w:tblPr>
        <w:tblStyle w:val="a6"/>
        <w:tblW w:w="0" w:type="auto"/>
        <w:tblInd w:w="426" w:type="dxa"/>
        <w:tblLook w:val="04A0" w:firstRow="1" w:lastRow="0" w:firstColumn="1" w:lastColumn="0" w:noHBand="0" w:noVBand="1"/>
      </w:tblPr>
      <w:tblGrid>
        <w:gridCol w:w="4850"/>
        <w:gridCol w:w="4295"/>
      </w:tblGrid>
      <w:tr>
        <w:trPr>
          <w:trHeight w:val="2779"/>
        </w:trPr>
        <w:tc>
          <w:tcPr>
            <w:tcW w:w="4247" w:type="dxa"/>
          </w:tcPr>
          <w:p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 </w:t>
            </w:r>
            <w:proofErr w:type="spellStart"/>
            <w:r>
              <w:rPr>
                <w:sz w:val="28"/>
                <w:szCs w:val="28"/>
              </w:rPr>
              <w:t>YouTube</w:t>
            </w:r>
            <w:proofErr w:type="spellEnd"/>
            <w:r>
              <w:rPr>
                <w:sz w:val="28"/>
                <w:szCs w:val="28"/>
              </w:rPr>
              <w:t xml:space="preserve">-канале </w:t>
            </w:r>
            <w:bookmarkStart w:id="0" w:name="_GoBack"/>
            <w:r>
              <w:fldChar w:fldCharType="begin"/>
            </w:r>
            <w:r>
              <w:instrText xml:space="preserve"> HYPERLINK "https://youtube.com/user/BankofRussia" </w:instrText>
            </w:r>
            <w:r>
              <w:fldChar w:fldCharType="separate"/>
            </w:r>
            <w:r>
              <w:rPr>
                <w:rStyle w:val="ac"/>
                <w:sz w:val="28"/>
                <w:szCs w:val="28"/>
              </w:rPr>
              <w:t>https://youtube.com/user/BankofRussia</w:t>
            </w:r>
            <w:r>
              <w:rPr>
                <w:rStyle w:val="ac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4672" w:type="dxa"/>
          </w:tcPr>
          <w:p>
            <w:pPr>
              <w:pStyle w:val="ab"/>
              <w:spacing w:before="0" w:beforeAutospacing="0" w:after="0" w:afterAutospacing="0"/>
              <w:ind w:left="426"/>
              <w:rPr>
                <w:sz w:val="28"/>
                <w:szCs w:val="28"/>
              </w:rPr>
            </w:pPr>
            <w:r>
              <w:object w:dxaOrig="12000" w:dyaOrig="12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0.5pt;height:172.5pt" o:ole="">
                  <v:imagedata r:id="rId8" o:title=""/>
                </v:shape>
                <o:OLEObject Type="Embed" ProgID="PBrush" ShapeID="_x0000_i1025" DrawAspect="Content" ObjectID="_1725264084" r:id="rId9"/>
              </w:object>
            </w:r>
          </w:p>
        </w:tc>
      </w:tr>
      <w:tr>
        <w:trPr>
          <w:trHeight w:val="975"/>
        </w:trPr>
        <w:tc>
          <w:tcPr>
            <w:tcW w:w="4247" w:type="dxa"/>
          </w:tcPr>
          <w:p>
            <w:pPr>
              <w:pStyle w:val="ab"/>
              <w:numPr>
                <w:ilvl w:val="0"/>
                <w:numId w:val="7"/>
              </w:numPr>
              <w:spacing w:before="0" w:beforeAutospacing="0" w:after="0" w:afterAutospacing="0"/>
              <w:ind w:left="426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Telegram</w:t>
            </w:r>
            <w:r>
              <w:rPr>
                <w:color w:val="000000" w:themeColor="text1"/>
                <w:sz w:val="28"/>
                <w:szCs w:val="28"/>
              </w:rPr>
              <w:t xml:space="preserve">-канале </w:t>
            </w:r>
            <w:hyperlink r:id="rId10" w:history="1">
              <w:r>
                <w:rPr>
                  <w:rStyle w:val="ac"/>
                  <w:sz w:val="28"/>
                  <w:szCs w:val="28"/>
                </w:rPr>
                <w:t>https://t.me/centralbank_russia</w:t>
              </w:r>
            </w:hyperlink>
          </w:p>
          <w:p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>
            <w:pPr>
              <w:pStyle w:val="ab"/>
              <w:spacing w:before="0" w:beforeAutospacing="0" w:after="0" w:afterAutospacing="0"/>
              <w:ind w:left="426"/>
              <w:rPr>
                <w:color w:val="000000" w:themeColor="text1"/>
                <w:sz w:val="28"/>
                <w:szCs w:val="28"/>
              </w:rPr>
            </w:pPr>
            <w:r>
              <w:object w:dxaOrig="4305" w:dyaOrig="4260">
                <v:shape id="_x0000_i1026" type="#_x0000_t75" style="width:153.75pt;height:152.25pt" o:ole="">
                  <v:imagedata r:id="rId11" o:title=""/>
                </v:shape>
                <o:OLEObject Type="Embed" ProgID="PBrush" ShapeID="_x0000_i1026" DrawAspect="Content" ObjectID="_1725264085" r:id="rId12"/>
              </w:object>
            </w:r>
          </w:p>
        </w:tc>
      </w:tr>
      <w:tr>
        <w:tc>
          <w:tcPr>
            <w:tcW w:w="4247" w:type="dxa"/>
          </w:tcPr>
          <w:p>
            <w:pPr>
              <w:pStyle w:val="ab"/>
              <w:numPr>
                <w:ilvl w:val="0"/>
                <w:numId w:val="7"/>
              </w:numPr>
              <w:spacing w:before="0" w:beforeAutospacing="0" w:after="0" w:afterAutospacing="0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ВКонтакте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hyperlink r:id="rId13" w:history="1">
              <w:r>
                <w:rPr>
                  <w:rStyle w:val="ac"/>
                  <w:sz w:val="28"/>
                  <w:szCs w:val="28"/>
                </w:rPr>
                <w:t>https://vk.com/cbr_official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>
            <w:pPr>
              <w:pStyle w:val="ab"/>
              <w:spacing w:before="0" w:beforeAutospacing="0" w:after="0" w:afterAutospacing="0"/>
              <w:ind w:left="426"/>
              <w:rPr>
                <w:sz w:val="28"/>
                <w:szCs w:val="28"/>
              </w:rPr>
            </w:pPr>
            <w:r>
              <w:object w:dxaOrig="12000" w:dyaOrig="12840">
                <v:shape id="_x0000_i1027" type="#_x0000_t75" style="width:159pt;height:171pt" o:ole="">
                  <v:imagedata r:id="rId14" o:title=""/>
                </v:shape>
                <o:OLEObject Type="Embed" ProgID="PBrush" ShapeID="_x0000_i1027" DrawAspect="Content" ObjectID="_1725264086" r:id="rId15"/>
              </w:object>
            </w:r>
          </w:p>
        </w:tc>
      </w:tr>
      <w:tr>
        <w:trPr>
          <w:trHeight w:val="1016"/>
        </w:trPr>
        <w:tc>
          <w:tcPr>
            <w:tcW w:w="4247" w:type="dxa"/>
          </w:tcPr>
          <w:p>
            <w:pPr>
              <w:pStyle w:val="ab"/>
              <w:numPr>
                <w:ilvl w:val="0"/>
                <w:numId w:val="7"/>
              </w:numPr>
              <w:spacing w:before="0" w:beforeAutospacing="0" w:after="0" w:afterAutospacing="0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Одноклассниках </w:t>
            </w:r>
            <w:hyperlink r:id="rId16" w:history="1">
              <w:r>
                <w:rPr>
                  <w:rStyle w:val="ac"/>
                  <w:sz w:val="28"/>
                  <w:szCs w:val="28"/>
                </w:rPr>
                <w:t>https://ok.ru/group/68858679787580/</w:t>
              </w:r>
            </w:hyperlink>
          </w:p>
          <w:p>
            <w:pPr>
              <w:pStyle w:val="ab"/>
              <w:spacing w:before="0" w:beforeAutospacing="0" w:after="0" w:afterAutospacing="0"/>
              <w:ind w:left="426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>
            <w:pPr>
              <w:pStyle w:val="ab"/>
              <w:spacing w:before="0" w:beforeAutospacing="0" w:after="0" w:afterAutospacing="0"/>
              <w:ind w:left="426"/>
              <w:rPr>
                <w:sz w:val="28"/>
                <w:szCs w:val="28"/>
              </w:rPr>
            </w:pPr>
            <w:r>
              <w:object w:dxaOrig="12000" w:dyaOrig="12840">
                <v:shape id="_x0000_i1028" type="#_x0000_t75" style="width:165pt;height:177pt" o:ole="">
                  <v:imagedata r:id="rId17" o:title=""/>
                </v:shape>
                <o:OLEObject Type="Embed" ProgID="PBrush" ShapeID="_x0000_i1028" DrawAspect="Content" ObjectID="_1725264087" r:id="rId18"/>
              </w:objec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869806"/>
      <w:docPartObj>
        <w:docPartGallery w:val="Page Numbers (Top of Page)"/>
        <w:docPartUnique/>
      </w:docPartObj>
    </w:sdtPr>
    <w:sdtContent>
      <w:p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55AC"/>
    <w:multiLevelType w:val="hybridMultilevel"/>
    <w:tmpl w:val="01CC4EC0"/>
    <w:lvl w:ilvl="0" w:tplc="AB14A9CA">
      <w:start w:val="1"/>
      <w:numFmt w:val="bullet"/>
      <w:lvlText w:val="-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0A5E5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8EB48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6B1D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045C9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926AD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92E6B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0E9AD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F8882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DF3E40"/>
    <w:multiLevelType w:val="hybridMultilevel"/>
    <w:tmpl w:val="962A575E"/>
    <w:lvl w:ilvl="0" w:tplc="1AD848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4093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72259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1E1EB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309B9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D468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2C92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EA319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004E7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96C786F"/>
    <w:multiLevelType w:val="hybridMultilevel"/>
    <w:tmpl w:val="0EEAA7E6"/>
    <w:lvl w:ilvl="0" w:tplc="978438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C6D2E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94275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AA3E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9C0BD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A488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6863B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C3DE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EA681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FD73B98"/>
    <w:multiLevelType w:val="hybridMultilevel"/>
    <w:tmpl w:val="F53CA8DC"/>
    <w:lvl w:ilvl="0" w:tplc="76C040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8A5B0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7A31B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D05D3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AE5D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0A671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C0179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BE81F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767AD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1693EF8"/>
    <w:multiLevelType w:val="multilevel"/>
    <w:tmpl w:val="E52A33F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D5228F8"/>
    <w:multiLevelType w:val="multilevel"/>
    <w:tmpl w:val="CEA2A708"/>
    <w:lvl w:ilvl="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6101F21"/>
    <w:multiLevelType w:val="hybridMultilevel"/>
    <w:tmpl w:val="7C8E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Calibri" w:hAnsi="Segoe UI" w:cs="Segoe UI"/>
      <w:color w:val="000000"/>
      <w:sz w:val="18"/>
      <w:szCs w:val="18"/>
      <w:lang w:eastAsia="ru-RU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Calibri" w:hAnsi="Segoe UI" w:cs="Segoe UI"/>
      <w:color w:val="000000"/>
      <w:sz w:val="18"/>
      <w:szCs w:val="18"/>
      <w:lang w:eastAsia="ru-RU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cbr_official" TargetMode="External"/><Relationship Id="rId18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ok.ru/group/68858679787580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hyperlink" Target="https://t.me/centralbank_russia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Наталья Владимировна</dc:creator>
  <cp:lastModifiedBy>Fedoseeva</cp:lastModifiedBy>
  <cp:revision>2</cp:revision>
  <cp:lastPrinted>2021-11-15T06:36:00Z</cp:lastPrinted>
  <dcterms:created xsi:type="dcterms:W3CDTF">2022-09-21T01:15:00Z</dcterms:created>
  <dcterms:modified xsi:type="dcterms:W3CDTF">2022-09-21T01:15:00Z</dcterms:modified>
</cp:coreProperties>
</file>