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2A" w:rsidRPr="00CE502A" w:rsidRDefault="00CE502A" w:rsidP="00CE502A">
      <w:pPr>
        <w:pStyle w:val="ConsPlusNormal"/>
        <w:jc w:val="both"/>
        <w:outlineLvl w:val="0"/>
        <w:rPr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502A" w:rsidRPr="00CE50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  <w:bookmarkStart w:id="0" w:name="_GoBack"/>
            <w:r w:rsidRPr="00CE502A">
              <w:rPr>
                <w:szCs w:val="28"/>
              </w:rPr>
              <w:t>24 июня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502A" w:rsidRPr="00CE502A" w:rsidRDefault="00CE502A" w:rsidP="00CE502A">
            <w:pPr>
              <w:pStyle w:val="ConsPlusNormal"/>
              <w:jc w:val="right"/>
              <w:rPr>
                <w:szCs w:val="28"/>
              </w:rPr>
            </w:pPr>
            <w:r w:rsidRPr="00CE502A">
              <w:rPr>
                <w:szCs w:val="28"/>
              </w:rPr>
              <w:t>N 168-ФЗ</w:t>
            </w:r>
          </w:p>
        </w:tc>
      </w:tr>
      <w:bookmarkEnd w:id="0"/>
    </w:tbl>
    <w:p w:rsidR="00CE502A" w:rsidRPr="00CE502A" w:rsidRDefault="00CE502A" w:rsidP="00CE502A">
      <w:pPr>
        <w:pStyle w:val="ConsPlusNormal"/>
        <w:pBdr>
          <w:bottom w:val="single" w:sz="6" w:space="0" w:color="auto"/>
        </w:pBdr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Title"/>
        <w:jc w:val="center"/>
        <w:rPr>
          <w:szCs w:val="28"/>
        </w:rPr>
      </w:pPr>
      <w:r w:rsidRPr="00CE502A">
        <w:rPr>
          <w:szCs w:val="28"/>
        </w:rPr>
        <w:t>РОССИЙСКАЯ ФЕДЕРАЦИЯ</w:t>
      </w:r>
    </w:p>
    <w:p w:rsidR="00CE502A" w:rsidRPr="00CE502A" w:rsidRDefault="00CE502A" w:rsidP="00CE502A">
      <w:pPr>
        <w:pStyle w:val="ConsPlusTitle"/>
        <w:jc w:val="center"/>
        <w:rPr>
          <w:szCs w:val="28"/>
        </w:rPr>
      </w:pPr>
    </w:p>
    <w:p w:rsidR="00CE502A" w:rsidRPr="00CE502A" w:rsidRDefault="00CE502A" w:rsidP="00CE502A">
      <w:pPr>
        <w:pStyle w:val="ConsPlusTitle"/>
        <w:jc w:val="center"/>
        <w:rPr>
          <w:szCs w:val="28"/>
        </w:rPr>
      </w:pPr>
      <w:r w:rsidRPr="00CE502A">
        <w:rPr>
          <w:szCs w:val="28"/>
        </w:rPr>
        <w:t>ФЕДЕРАЛЬНЫЙ ЗАКОН</w:t>
      </w:r>
    </w:p>
    <w:p w:rsidR="00CE502A" w:rsidRPr="00CE502A" w:rsidRDefault="00CE502A" w:rsidP="00CE502A">
      <w:pPr>
        <w:pStyle w:val="ConsPlusTitle"/>
        <w:jc w:val="center"/>
        <w:rPr>
          <w:szCs w:val="28"/>
        </w:rPr>
      </w:pPr>
    </w:p>
    <w:p w:rsidR="00CE502A" w:rsidRPr="00CE502A" w:rsidRDefault="00CE502A" w:rsidP="00CE502A">
      <w:pPr>
        <w:pStyle w:val="ConsPlusTitle"/>
        <w:jc w:val="center"/>
        <w:rPr>
          <w:szCs w:val="28"/>
        </w:rPr>
      </w:pPr>
      <w:r w:rsidRPr="00CE502A">
        <w:rPr>
          <w:szCs w:val="28"/>
        </w:rPr>
        <w:t>О ВНЕСЕНИИ ИЗМЕНЕНИЙ</w:t>
      </w:r>
    </w:p>
    <w:p w:rsidR="00CE502A" w:rsidRPr="00CE502A" w:rsidRDefault="00CE502A" w:rsidP="00CE502A">
      <w:pPr>
        <w:pStyle w:val="ConsPlusTitle"/>
        <w:jc w:val="center"/>
        <w:rPr>
          <w:szCs w:val="28"/>
        </w:rPr>
      </w:pPr>
      <w:r w:rsidRPr="00CE502A">
        <w:rPr>
          <w:szCs w:val="28"/>
        </w:rPr>
        <w:t>В ОТДЕЛЬНЫЕ ЗАКОНОДАТЕЛЬНЫЕ АКТЫ РОССИЙСКОЙ ФЕДЕРАЦИИ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proofErr w:type="gramStart"/>
      <w:r w:rsidRPr="00CE502A">
        <w:rPr>
          <w:szCs w:val="28"/>
        </w:rPr>
        <w:t>Принят</w:t>
      </w:r>
      <w:proofErr w:type="gramEnd"/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Государственной Думой</w:t>
      </w: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17 июня 2025 года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Одобрен</w:t>
      </w: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Советом Федерации</w:t>
      </w: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18 июня 2025 года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502A" w:rsidRPr="00CE50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jc w:val="both"/>
              <w:rPr>
                <w:szCs w:val="28"/>
              </w:rPr>
            </w:pPr>
            <w:proofErr w:type="spellStart"/>
            <w:r w:rsidRPr="00CE502A">
              <w:rPr>
                <w:color w:val="392C69"/>
                <w:szCs w:val="28"/>
              </w:rPr>
              <w:t>КонсультантПлюс</w:t>
            </w:r>
            <w:proofErr w:type="spellEnd"/>
            <w:r w:rsidRPr="00CE502A">
              <w:rPr>
                <w:color w:val="392C69"/>
                <w:szCs w:val="28"/>
              </w:rPr>
              <w:t>: примечание.</w:t>
            </w:r>
          </w:p>
          <w:p w:rsidR="00CE502A" w:rsidRPr="00CE502A" w:rsidRDefault="00CE502A" w:rsidP="00CE502A">
            <w:pPr>
              <w:pStyle w:val="ConsPlusNormal"/>
              <w:jc w:val="both"/>
              <w:rPr>
                <w:szCs w:val="28"/>
              </w:rPr>
            </w:pPr>
            <w:r w:rsidRPr="00CE502A">
              <w:rPr>
                <w:color w:val="392C69"/>
                <w:szCs w:val="28"/>
              </w:rPr>
              <w:t xml:space="preserve">Ст. 1 </w:t>
            </w:r>
            <w:hyperlink w:anchor="P61">
              <w:r w:rsidRPr="00CE502A">
                <w:rPr>
                  <w:color w:val="0000FF"/>
                  <w:szCs w:val="28"/>
                </w:rPr>
                <w:t>вступает</w:t>
              </w:r>
            </w:hyperlink>
            <w:r w:rsidRPr="00CE502A">
              <w:rPr>
                <w:color w:val="392C69"/>
                <w:szCs w:val="28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</w:tr>
    </w:tbl>
    <w:p w:rsidR="00CE502A" w:rsidRPr="00CE502A" w:rsidRDefault="00CE502A" w:rsidP="00CE502A">
      <w:pPr>
        <w:pStyle w:val="ConsPlusTitle"/>
        <w:ind w:firstLine="540"/>
        <w:jc w:val="both"/>
        <w:outlineLvl w:val="0"/>
        <w:rPr>
          <w:szCs w:val="28"/>
        </w:rPr>
      </w:pPr>
      <w:bookmarkStart w:id="1" w:name="P21"/>
      <w:bookmarkEnd w:id="1"/>
      <w:r w:rsidRPr="00CE502A">
        <w:rPr>
          <w:szCs w:val="28"/>
        </w:rPr>
        <w:t>Статья 1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proofErr w:type="gramStart"/>
      <w:r w:rsidRPr="00CE502A">
        <w:rPr>
          <w:szCs w:val="28"/>
        </w:rPr>
        <w:t xml:space="preserve">Внести в </w:t>
      </w:r>
      <w:hyperlink r:id="rId5">
        <w:r w:rsidRPr="00CE502A">
          <w:rPr>
            <w:color w:val="0000FF"/>
            <w:szCs w:val="28"/>
          </w:rPr>
          <w:t>Закон</w:t>
        </w:r>
      </w:hyperlink>
      <w:r w:rsidRPr="00CE502A">
        <w:rPr>
          <w:szCs w:val="28"/>
        </w:rPr>
        <w:t xml:space="preserve"> Российской Федерации от 7 февраля 1992 года N 2300-I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</w:t>
      </w:r>
      <w:proofErr w:type="gramEnd"/>
      <w:r w:rsidRPr="00CE502A">
        <w:rPr>
          <w:szCs w:val="28"/>
        </w:rPr>
        <w:t xml:space="preserve"> </w:t>
      </w:r>
      <w:proofErr w:type="gramStart"/>
      <w:r w:rsidRPr="00CE502A">
        <w:rPr>
          <w:szCs w:val="28"/>
        </w:rPr>
        <w:t>2018, N 31, ст. 4839) следующие изменения:</w:t>
      </w:r>
      <w:proofErr w:type="gramEnd"/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1) в </w:t>
      </w:r>
      <w:hyperlink r:id="rId6">
        <w:r w:rsidRPr="00CE502A">
          <w:rPr>
            <w:color w:val="0000FF"/>
            <w:szCs w:val="28"/>
          </w:rPr>
          <w:t>пункте 2 статьи 8</w:t>
        </w:r>
      </w:hyperlink>
      <w:r w:rsidRPr="00CE502A">
        <w:rPr>
          <w:szCs w:val="28"/>
        </w:rPr>
        <w:t xml:space="preserve"> слова "субъектов Российской Федерации и родных" заменить словами "республик и иных";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2) </w:t>
      </w:r>
      <w:hyperlink r:id="rId7">
        <w:r w:rsidRPr="00CE502A">
          <w:rPr>
            <w:color w:val="0000FF"/>
            <w:szCs w:val="28"/>
          </w:rPr>
          <w:t>дополнить</w:t>
        </w:r>
      </w:hyperlink>
      <w:r w:rsidRPr="00CE502A">
        <w:rPr>
          <w:szCs w:val="28"/>
        </w:rPr>
        <w:t xml:space="preserve"> статьей 10.1 следующего содержания: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>"Статья 10.1. Информация, предназначенная для публичного ознакомления потребителей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1. </w:t>
      </w:r>
      <w:proofErr w:type="gramStart"/>
      <w:r w:rsidRPr="00CE502A">
        <w:rPr>
          <w:szCs w:val="28"/>
        </w:rPr>
        <w:t xml:space="preserve">Информация, предназначенная для публичного ознакомления потребителей и не являющаяся рекламой, за исключением информации, указанной в статьях 8, 9 и 10 настоящего Закона, размещается изготовителем (исполнителем, продавцом) в общедоступных местах (местах, доступных для неопределенного круга лиц) и (или) доводится до сведения неопределенного круга потребителей (в случае размещения такой информации) с использованием вывесок или иных средств размещения информации </w:t>
      </w:r>
      <w:r w:rsidRPr="00CE502A">
        <w:rPr>
          <w:szCs w:val="28"/>
        </w:rPr>
        <w:lastRenderedPageBreak/>
        <w:t>(надписей, указателей, внешних поверхностей</w:t>
      </w:r>
      <w:proofErr w:type="gramEnd"/>
      <w:r w:rsidRPr="00CE502A">
        <w:rPr>
          <w:szCs w:val="28"/>
        </w:rPr>
        <w:t>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 при осуществлении торговли, бытового и иных видов обслуживания потребителей.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2. 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субъектов Российской Федерации, может быть выполнена также на государственных языках республик и (или) иных языках народов Российской Федерации. </w:t>
      </w:r>
      <w:proofErr w:type="gramStart"/>
      <w:r w:rsidRPr="00CE502A">
        <w:rPr>
          <w:szCs w:val="28"/>
        </w:rPr>
        <w:t xml:space="preserve">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 языке Российской Федерации, а также равнозначной по размещению и техническому оформлению в соответствии с </w:t>
      </w:r>
      <w:hyperlink r:id="rId8">
        <w:r w:rsidRPr="00CE502A">
          <w:rPr>
            <w:color w:val="0000FF"/>
            <w:szCs w:val="28"/>
          </w:rPr>
          <w:t>частью 2 статьи 3</w:t>
        </w:r>
      </w:hyperlink>
      <w:r w:rsidRPr="00CE502A">
        <w:rPr>
          <w:szCs w:val="28"/>
        </w:rPr>
        <w:t xml:space="preserve"> Федерального закона от</w:t>
      </w:r>
      <w:proofErr w:type="gramEnd"/>
      <w:r w:rsidRPr="00CE502A">
        <w:rPr>
          <w:szCs w:val="28"/>
        </w:rPr>
        <w:t xml:space="preserve"> 1 июня 2005 года N 53-ФЗ "О государственном языке Российской Федерации".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3. По усмотрению изготовителя (исполнителя, продавца) информация, предназначенная для публичного ознакомления потребителей, в соответствии с </w:t>
      </w:r>
      <w:hyperlink r:id="rId9">
        <w:r w:rsidRPr="00CE502A">
          <w:rPr>
            <w:color w:val="0000FF"/>
            <w:szCs w:val="28"/>
          </w:rPr>
          <w:t>частью 2 статьи 3</w:t>
        </w:r>
      </w:hyperlink>
      <w:r w:rsidRPr="00CE502A">
        <w:rPr>
          <w:szCs w:val="28"/>
        </w:rPr>
        <w:t xml:space="preserve"> Федерального закона от 1 июня 2005 года N 53-ФЗ "О государственном языке Российской Федерации" может быть выполнена также на иностранных языках.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4. </w:t>
      </w:r>
      <w:proofErr w:type="gramStart"/>
      <w:r w:rsidRPr="00CE502A">
        <w:rPr>
          <w:szCs w:val="28"/>
        </w:rPr>
        <w:t xml:space="preserve">Положения настоящей статьи не применяются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Федерации, требованиями технических регламентов в соответствии с Федеральным </w:t>
      </w:r>
      <w:hyperlink r:id="rId10">
        <w:r w:rsidRPr="00CE502A">
          <w:rPr>
            <w:color w:val="0000FF"/>
            <w:szCs w:val="28"/>
          </w:rPr>
          <w:t>законом</w:t>
        </w:r>
      </w:hyperlink>
      <w:r w:rsidRPr="00CE502A">
        <w:rPr>
          <w:szCs w:val="28"/>
        </w:rPr>
        <w:t xml:space="preserve"> от 27 декабря 2002 года N 184-ФЗ "О техническом регулировании", актами, составляющими право Евразийского экономического союза.".</w:t>
      </w:r>
      <w:proofErr w:type="gramEnd"/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Title"/>
        <w:ind w:firstLine="540"/>
        <w:jc w:val="both"/>
        <w:outlineLvl w:val="0"/>
        <w:rPr>
          <w:szCs w:val="28"/>
        </w:rPr>
      </w:pPr>
      <w:r w:rsidRPr="00CE502A">
        <w:rPr>
          <w:szCs w:val="28"/>
        </w:rPr>
        <w:t>Статья 2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hyperlink r:id="rId11">
        <w:r w:rsidRPr="00CE502A">
          <w:rPr>
            <w:color w:val="0000FF"/>
            <w:szCs w:val="28"/>
          </w:rPr>
          <w:t>Статью 58</w:t>
        </w:r>
      </w:hyperlink>
      <w:r w:rsidRPr="00CE502A">
        <w:rPr>
          <w:szCs w:val="28"/>
        </w:rPr>
        <w:t xml:space="preserve"> Закона Российской Федерации от 9 октября 1992 года N 3612-I "Основы законодательства Российской Федерации о культуре" (Ведомости Съезда народных депутатов Российской Федерации и Верховного Совета Российской Федерации, 1992, N 46, ст. 2615) изложить в следующей редакции: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>"Статья 58. Культурное сотрудничество с соотечественниками за рубежом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Российская Федерация оказывает поддержку соотечественникам, проживающим за рубежом, в сохранении общероссийской культурной </w:t>
      </w:r>
      <w:r w:rsidRPr="00CE502A">
        <w:rPr>
          <w:szCs w:val="28"/>
        </w:rPr>
        <w:lastRenderedPageBreak/>
        <w:t>идентичности, связей с исторической Родиной.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>Российская Федерация содействует развитию российской культуры за рубежом, укреплению позиций русского языка и распространению российской культуры в мире, поддерживая связи с соотечественниками, проживающими за рубежом, и их потомками, организуя культурные центры, сотрудничая с землячествами, проводя совместные культурные мероприятия</w:t>
      </w:r>
      <w:proofErr w:type="gramStart"/>
      <w:r w:rsidRPr="00CE502A">
        <w:rPr>
          <w:szCs w:val="28"/>
        </w:rPr>
        <w:t>.".</w:t>
      </w:r>
      <w:proofErr w:type="gramEnd"/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Title"/>
        <w:ind w:firstLine="540"/>
        <w:jc w:val="both"/>
        <w:outlineLvl w:val="0"/>
        <w:rPr>
          <w:szCs w:val="28"/>
        </w:rPr>
      </w:pPr>
      <w:r w:rsidRPr="00CE502A">
        <w:rPr>
          <w:szCs w:val="28"/>
        </w:rPr>
        <w:t>Статья 3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hyperlink r:id="rId12">
        <w:r w:rsidRPr="00CE502A">
          <w:rPr>
            <w:color w:val="0000FF"/>
            <w:szCs w:val="28"/>
          </w:rPr>
          <w:t>Абзац второй пункта 4 статьи 5</w:t>
        </w:r>
      </w:hyperlink>
      <w:r w:rsidRPr="00CE502A">
        <w:rPr>
          <w:szCs w:val="28"/>
        </w:rPr>
        <w:t xml:space="preserve"> Федерального закона от 24 мая 1999 года N 99-ФЗ "О государственной политике Российской Федерации в отношении соотечественников за рубежом" (Собрание законодательства Российской Федерации, 1999, N 22, ст. 2670; 2010, N 30, ст. 4010) дополнить словами ", сохранения общероссийской культурной идентичности".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502A" w:rsidRPr="00CE50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jc w:val="both"/>
              <w:rPr>
                <w:szCs w:val="28"/>
              </w:rPr>
            </w:pPr>
            <w:proofErr w:type="spellStart"/>
            <w:r w:rsidRPr="00CE502A">
              <w:rPr>
                <w:color w:val="392C69"/>
                <w:szCs w:val="28"/>
              </w:rPr>
              <w:t>КонсультантПлюс</w:t>
            </w:r>
            <w:proofErr w:type="spellEnd"/>
            <w:r w:rsidRPr="00CE502A">
              <w:rPr>
                <w:color w:val="392C69"/>
                <w:szCs w:val="28"/>
              </w:rPr>
              <w:t>: примечание.</w:t>
            </w:r>
          </w:p>
          <w:p w:rsidR="00CE502A" w:rsidRPr="00CE502A" w:rsidRDefault="00CE502A" w:rsidP="00CE502A">
            <w:pPr>
              <w:pStyle w:val="ConsPlusNormal"/>
              <w:jc w:val="both"/>
              <w:rPr>
                <w:szCs w:val="28"/>
              </w:rPr>
            </w:pPr>
            <w:r w:rsidRPr="00CE502A">
              <w:rPr>
                <w:color w:val="392C69"/>
                <w:szCs w:val="28"/>
              </w:rPr>
              <w:t xml:space="preserve">Ст. 4 </w:t>
            </w:r>
            <w:hyperlink w:anchor="P61">
              <w:r w:rsidRPr="00CE502A">
                <w:rPr>
                  <w:color w:val="0000FF"/>
                  <w:szCs w:val="28"/>
                </w:rPr>
                <w:t>вступает</w:t>
              </w:r>
            </w:hyperlink>
            <w:r w:rsidRPr="00CE502A">
              <w:rPr>
                <w:color w:val="392C69"/>
                <w:szCs w:val="28"/>
              </w:rPr>
              <w:t xml:space="preserve"> в силу с 01.03.2026.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02A" w:rsidRPr="00CE502A" w:rsidRDefault="00CE502A" w:rsidP="00CE502A">
            <w:pPr>
              <w:pStyle w:val="ConsPlusNormal"/>
              <w:rPr>
                <w:szCs w:val="28"/>
              </w:rPr>
            </w:pPr>
          </w:p>
        </w:tc>
      </w:tr>
    </w:tbl>
    <w:p w:rsidR="00CE502A" w:rsidRPr="00CE502A" w:rsidRDefault="00CE502A" w:rsidP="00CE502A">
      <w:pPr>
        <w:pStyle w:val="ConsPlusTitle"/>
        <w:ind w:firstLine="540"/>
        <w:jc w:val="both"/>
        <w:outlineLvl w:val="0"/>
        <w:rPr>
          <w:szCs w:val="28"/>
        </w:rPr>
      </w:pPr>
      <w:bookmarkStart w:id="2" w:name="P49"/>
      <w:bookmarkEnd w:id="2"/>
      <w:r w:rsidRPr="00CE502A">
        <w:rPr>
          <w:szCs w:val="28"/>
        </w:rPr>
        <w:t>Статья 4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proofErr w:type="gramStart"/>
      <w:r w:rsidRPr="00CE502A">
        <w:rPr>
          <w:szCs w:val="28"/>
        </w:rPr>
        <w:t xml:space="preserve">Внести в Федеральный </w:t>
      </w:r>
      <w:hyperlink r:id="rId13">
        <w:r w:rsidRPr="00CE502A">
          <w:rPr>
            <w:color w:val="0000FF"/>
            <w:szCs w:val="28"/>
          </w:rPr>
          <w:t>закон</w:t>
        </w:r>
      </w:hyperlink>
      <w:r w:rsidRPr="00CE502A">
        <w:rPr>
          <w:szCs w:val="28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3287; 2010, N 25, ст. 3070;</w:t>
      </w:r>
      <w:proofErr w:type="gramEnd"/>
      <w:r w:rsidRPr="00CE502A">
        <w:rPr>
          <w:szCs w:val="28"/>
        </w:rPr>
        <w:t xml:space="preserve"> </w:t>
      </w:r>
      <w:proofErr w:type="gramStart"/>
      <w:r w:rsidRPr="00CE502A">
        <w:rPr>
          <w:szCs w:val="28"/>
        </w:rPr>
        <w:t>2011, N 49, ст. 7015; 2012, N 29, ст. 3998; 2014, N 26, ст. 3377; 2015, N 29, ст. 4362; 2016, N 27, ст. 4237; 2017, N 31, ст. 4767; 2018, N 28, ст. 4139; N 53, ст. 8404; 2019, N 26, ст. 3317; 2020, N 29, ст. 4512; 2021, N 1, ст. 33;</w:t>
      </w:r>
      <w:proofErr w:type="gramEnd"/>
      <w:r w:rsidRPr="00CE502A">
        <w:rPr>
          <w:szCs w:val="28"/>
        </w:rPr>
        <w:t xml:space="preserve"> </w:t>
      </w:r>
      <w:proofErr w:type="gramStart"/>
      <w:r w:rsidRPr="00CE502A">
        <w:rPr>
          <w:szCs w:val="28"/>
        </w:rPr>
        <w:t>N 27, ст. 5101; 2022, N 1, ст. 45; N 52, ст. 9372; 2023, N 32, ст. 6153; 2024, N 8, ст. 1044; N 51, ст. 7869) следующие изменения:</w:t>
      </w:r>
      <w:proofErr w:type="gramEnd"/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1) </w:t>
      </w:r>
      <w:hyperlink r:id="rId14">
        <w:r w:rsidRPr="00CE502A">
          <w:rPr>
            <w:color w:val="0000FF"/>
            <w:szCs w:val="28"/>
          </w:rPr>
          <w:t>статью 2</w:t>
        </w:r>
      </w:hyperlink>
      <w:r w:rsidRPr="00CE502A">
        <w:rPr>
          <w:szCs w:val="28"/>
        </w:rPr>
        <w:t xml:space="preserve"> дополнить пунктом 7 следующего содержания: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proofErr w:type="gramStart"/>
      <w:r w:rsidRPr="00CE502A">
        <w:rPr>
          <w:szCs w:val="28"/>
        </w:rPr>
        <w:t>"7) наименование объекта (группы объектов) капитального строительства, наименование малоэтажного жилого комплекса - коммерческие обозначения, индивидуализирующие соответственно объект (группу объектов) капитального строительства, малоэтажный жилой комплекс, которые застройщик планирует использовать в рекламе, связанной с привлечением денежных средств участников долевого строительства, и которые должны быть выполнены только с использованием кириллицы.";</w:t>
      </w:r>
      <w:proofErr w:type="gramEnd"/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2) </w:t>
      </w:r>
      <w:hyperlink r:id="rId15">
        <w:r w:rsidRPr="00CE502A">
          <w:rPr>
            <w:color w:val="0000FF"/>
            <w:szCs w:val="28"/>
          </w:rPr>
          <w:t>пункт 3 части 3.3 статьи 3.1</w:t>
        </w:r>
      </w:hyperlink>
      <w:r w:rsidRPr="00CE502A">
        <w:rPr>
          <w:szCs w:val="28"/>
        </w:rPr>
        <w:t xml:space="preserve"> изложить в следующей редакции: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>"3) наименование малоэтажного жилого комплекса, сведения о генеральном подрядчике, выполняющем работы в соответствии с договором строительного подряда, заключенным с застройщиком</w:t>
      </w:r>
      <w:proofErr w:type="gramStart"/>
      <w:r w:rsidRPr="00CE502A">
        <w:rPr>
          <w:szCs w:val="28"/>
        </w:rPr>
        <w:t>;"</w:t>
      </w:r>
      <w:proofErr w:type="gramEnd"/>
      <w:r w:rsidRPr="00CE502A">
        <w:rPr>
          <w:szCs w:val="28"/>
        </w:rPr>
        <w:t>;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3) в </w:t>
      </w:r>
      <w:hyperlink r:id="rId16">
        <w:r w:rsidRPr="00CE502A">
          <w:rPr>
            <w:color w:val="0000FF"/>
            <w:szCs w:val="28"/>
          </w:rPr>
          <w:t>пункте 1 части 1 статьи 21</w:t>
        </w:r>
      </w:hyperlink>
      <w:r w:rsidRPr="00CE502A">
        <w:rPr>
          <w:szCs w:val="28"/>
        </w:rPr>
        <w:t xml:space="preserve"> слова "коммерческое обозначение, индивидуализирующее объект (группу объектов) капитального </w:t>
      </w:r>
      <w:r w:rsidRPr="00CE502A">
        <w:rPr>
          <w:szCs w:val="28"/>
        </w:rPr>
        <w:lastRenderedPageBreak/>
        <w:t>строительства (в случае строительства многоквартирных домов - наименование жилого комплекса), если застройщик планирует использовать такое коммерческое обозначение (наименование жилого комплекса) в рекламе, связанной с привлечением денежных средств участников долевого строительства</w:t>
      </w:r>
      <w:proofErr w:type="gramStart"/>
      <w:r w:rsidRPr="00CE502A">
        <w:rPr>
          <w:szCs w:val="28"/>
        </w:rPr>
        <w:t>,"</w:t>
      </w:r>
      <w:proofErr w:type="gramEnd"/>
      <w:r w:rsidRPr="00CE502A">
        <w:rPr>
          <w:szCs w:val="28"/>
        </w:rPr>
        <w:t xml:space="preserve"> заменить словами "наименование объекта (группы объектов) капитального строительства (в случае строительства многоквартирных домов - наименование жилого комплекса)</w:t>
      </w:r>
      <w:proofErr w:type="gramStart"/>
      <w:r w:rsidRPr="00CE502A">
        <w:rPr>
          <w:szCs w:val="28"/>
        </w:rPr>
        <w:t>,"</w:t>
      </w:r>
      <w:proofErr w:type="gramEnd"/>
      <w:r w:rsidRPr="00CE502A">
        <w:rPr>
          <w:szCs w:val="28"/>
        </w:rPr>
        <w:t>.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Title"/>
        <w:ind w:firstLine="540"/>
        <w:jc w:val="both"/>
        <w:outlineLvl w:val="0"/>
        <w:rPr>
          <w:szCs w:val="28"/>
        </w:rPr>
      </w:pPr>
      <w:r w:rsidRPr="00CE502A">
        <w:rPr>
          <w:szCs w:val="28"/>
        </w:rPr>
        <w:t>Статья 5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1. Настоящий Федеральный закон вступает в силу со дня его официального опубликования, за исключением </w:t>
      </w:r>
      <w:hyperlink w:anchor="P21">
        <w:r w:rsidRPr="00CE502A">
          <w:rPr>
            <w:color w:val="0000FF"/>
            <w:szCs w:val="28"/>
          </w:rPr>
          <w:t>статей 1</w:t>
        </w:r>
      </w:hyperlink>
      <w:r w:rsidRPr="00CE502A">
        <w:rPr>
          <w:szCs w:val="28"/>
        </w:rPr>
        <w:t xml:space="preserve"> и </w:t>
      </w:r>
      <w:hyperlink w:anchor="P49">
        <w:r w:rsidRPr="00CE502A">
          <w:rPr>
            <w:color w:val="0000FF"/>
            <w:szCs w:val="28"/>
          </w:rPr>
          <w:t>4</w:t>
        </w:r>
      </w:hyperlink>
      <w:r w:rsidRPr="00CE502A">
        <w:rPr>
          <w:szCs w:val="28"/>
        </w:rPr>
        <w:t xml:space="preserve"> настоящего Федерального закона.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bookmarkStart w:id="3" w:name="P61"/>
      <w:bookmarkEnd w:id="3"/>
      <w:r w:rsidRPr="00CE502A">
        <w:rPr>
          <w:szCs w:val="28"/>
        </w:rPr>
        <w:t xml:space="preserve">2. </w:t>
      </w:r>
      <w:hyperlink w:anchor="P21">
        <w:r w:rsidRPr="00CE502A">
          <w:rPr>
            <w:color w:val="0000FF"/>
            <w:szCs w:val="28"/>
          </w:rPr>
          <w:t>Статьи 1</w:t>
        </w:r>
      </w:hyperlink>
      <w:r w:rsidRPr="00CE502A">
        <w:rPr>
          <w:szCs w:val="28"/>
        </w:rPr>
        <w:t xml:space="preserve"> и </w:t>
      </w:r>
      <w:hyperlink w:anchor="P49">
        <w:r w:rsidRPr="00CE502A">
          <w:rPr>
            <w:color w:val="0000FF"/>
            <w:szCs w:val="28"/>
          </w:rPr>
          <w:t>4</w:t>
        </w:r>
      </w:hyperlink>
      <w:r w:rsidRPr="00CE502A">
        <w:rPr>
          <w:szCs w:val="28"/>
        </w:rPr>
        <w:t xml:space="preserve"> настоящего Федерального закона вступают в силу с 1 марта 2026 года.</w:t>
      </w:r>
    </w:p>
    <w:p w:rsidR="00CE502A" w:rsidRPr="00CE502A" w:rsidRDefault="00CE502A" w:rsidP="00CE502A">
      <w:pPr>
        <w:pStyle w:val="ConsPlusNormal"/>
        <w:ind w:firstLine="540"/>
        <w:jc w:val="both"/>
        <w:rPr>
          <w:szCs w:val="28"/>
        </w:rPr>
      </w:pPr>
      <w:r w:rsidRPr="00CE502A">
        <w:rPr>
          <w:szCs w:val="28"/>
        </w:rPr>
        <w:t xml:space="preserve">3. </w:t>
      </w:r>
      <w:proofErr w:type="gramStart"/>
      <w:r w:rsidRPr="00CE502A">
        <w:rPr>
          <w:szCs w:val="28"/>
        </w:rPr>
        <w:t>Действие положений пункта 7 статьи 2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не распространяется на наименования объектов (групп объектов) капитального строительства, малоэтажных жилых комплексов, введенных в эксплуатацию до дня вступления в силу настоящего Федерального закона.</w:t>
      </w:r>
      <w:proofErr w:type="gramEnd"/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Президент</w:t>
      </w: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Российской Федерации</w:t>
      </w:r>
    </w:p>
    <w:p w:rsidR="00CE502A" w:rsidRPr="00CE502A" w:rsidRDefault="00CE502A" w:rsidP="00CE502A">
      <w:pPr>
        <w:pStyle w:val="ConsPlusNormal"/>
        <w:jc w:val="right"/>
        <w:rPr>
          <w:szCs w:val="28"/>
        </w:rPr>
      </w:pPr>
      <w:r w:rsidRPr="00CE502A">
        <w:rPr>
          <w:szCs w:val="28"/>
        </w:rPr>
        <w:t>В.ПУТИН</w:t>
      </w:r>
    </w:p>
    <w:p w:rsidR="00CE502A" w:rsidRPr="00CE502A" w:rsidRDefault="00CE502A" w:rsidP="00CE502A">
      <w:pPr>
        <w:pStyle w:val="ConsPlusNormal"/>
        <w:rPr>
          <w:szCs w:val="28"/>
        </w:rPr>
      </w:pPr>
      <w:r w:rsidRPr="00CE502A">
        <w:rPr>
          <w:szCs w:val="28"/>
        </w:rPr>
        <w:t>Москва, Кремль</w:t>
      </w:r>
    </w:p>
    <w:p w:rsidR="00CE502A" w:rsidRPr="00CE502A" w:rsidRDefault="00CE502A" w:rsidP="00CE502A">
      <w:pPr>
        <w:pStyle w:val="ConsPlusNormal"/>
        <w:rPr>
          <w:szCs w:val="28"/>
        </w:rPr>
      </w:pPr>
      <w:r w:rsidRPr="00CE502A">
        <w:rPr>
          <w:szCs w:val="28"/>
        </w:rPr>
        <w:t>24 июня 2025 года</w:t>
      </w:r>
    </w:p>
    <w:p w:rsidR="00CE502A" w:rsidRPr="00CE502A" w:rsidRDefault="00CE502A" w:rsidP="00CE502A">
      <w:pPr>
        <w:pStyle w:val="ConsPlusNormal"/>
        <w:rPr>
          <w:szCs w:val="28"/>
        </w:rPr>
      </w:pPr>
      <w:r w:rsidRPr="00CE502A">
        <w:rPr>
          <w:szCs w:val="28"/>
        </w:rPr>
        <w:t>N 168-ФЗ</w:t>
      </w: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jc w:val="both"/>
        <w:rPr>
          <w:szCs w:val="28"/>
        </w:rPr>
      </w:pPr>
    </w:p>
    <w:p w:rsidR="00CE502A" w:rsidRPr="00CE502A" w:rsidRDefault="00CE502A" w:rsidP="00CE502A">
      <w:pPr>
        <w:pStyle w:val="ConsPlusNormal"/>
        <w:pBdr>
          <w:bottom w:val="single" w:sz="6" w:space="0" w:color="auto"/>
        </w:pBdr>
        <w:jc w:val="both"/>
        <w:rPr>
          <w:szCs w:val="28"/>
        </w:rPr>
      </w:pPr>
    </w:p>
    <w:p w:rsidR="00BD2E5A" w:rsidRPr="00CE502A" w:rsidRDefault="00BD2E5A" w:rsidP="00CE502A">
      <w:pPr>
        <w:rPr>
          <w:rFonts w:cs="Times New Roman"/>
          <w:szCs w:val="28"/>
        </w:rPr>
      </w:pPr>
    </w:p>
    <w:sectPr w:rsidR="00BD2E5A" w:rsidRPr="00CE502A" w:rsidSect="0020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2A"/>
    <w:rsid w:val="000868B6"/>
    <w:rsid w:val="000B02F1"/>
    <w:rsid w:val="000B4255"/>
    <w:rsid w:val="000C1681"/>
    <w:rsid w:val="001338EC"/>
    <w:rsid w:val="001365B6"/>
    <w:rsid w:val="00157709"/>
    <w:rsid w:val="001627A3"/>
    <w:rsid w:val="00184810"/>
    <w:rsid w:val="00202943"/>
    <w:rsid w:val="00222049"/>
    <w:rsid w:val="00224A70"/>
    <w:rsid w:val="002A53F1"/>
    <w:rsid w:val="002C21B4"/>
    <w:rsid w:val="00316C27"/>
    <w:rsid w:val="003A37B4"/>
    <w:rsid w:val="003A44EC"/>
    <w:rsid w:val="003E7E45"/>
    <w:rsid w:val="00403D49"/>
    <w:rsid w:val="004A27EA"/>
    <w:rsid w:val="004B014F"/>
    <w:rsid w:val="00500B4C"/>
    <w:rsid w:val="00505032"/>
    <w:rsid w:val="00510A5A"/>
    <w:rsid w:val="00537A2F"/>
    <w:rsid w:val="005500F9"/>
    <w:rsid w:val="00555224"/>
    <w:rsid w:val="00560A90"/>
    <w:rsid w:val="005A70F4"/>
    <w:rsid w:val="005D709D"/>
    <w:rsid w:val="006043E3"/>
    <w:rsid w:val="007609D3"/>
    <w:rsid w:val="007C044A"/>
    <w:rsid w:val="007F4C04"/>
    <w:rsid w:val="00813107"/>
    <w:rsid w:val="00863FCF"/>
    <w:rsid w:val="00883EA9"/>
    <w:rsid w:val="00887B62"/>
    <w:rsid w:val="00896859"/>
    <w:rsid w:val="008A0506"/>
    <w:rsid w:val="008E626A"/>
    <w:rsid w:val="0093647F"/>
    <w:rsid w:val="00942E07"/>
    <w:rsid w:val="00947AA9"/>
    <w:rsid w:val="009E045F"/>
    <w:rsid w:val="00A007BB"/>
    <w:rsid w:val="00A23353"/>
    <w:rsid w:val="00A55427"/>
    <w:rsid w:val="00B115C1"/>
    <w:rsid w:val="00B66973"/>
    <w:rsid w:val="00BD2E5A"/>
    <w:rsid w:val="00BF0C67"/>
    <w:rsid w:val="00C26DE9"/>
    <w:rsid w:val="00C32653"/>
    <w:rsid w:val="00CC0962"/>
    <w:rsid w:val="00CC1247"/>
    <w:rsid w:val="00CE502A"/>
    <w:rsid w:val="00D565AC"/>
    <w:rsid w:val="00D6555F"/>
    <w:rsid w:val="00DA192E"/>
    <w:rsid w:val="00DB49A8"/>
    <w:rsid w:val="00DE77BF"/>
    <w:rsid w:val="00E401B1"/>
    <w:rsid w:val="00E55AA2"/>
    <w:rsid w:val="00E750CB"/>
    <w:rsid w:val="00E94AF9"/>
    <w:rsid w:val="00ED7A64"/>
    <w:rsid w:val="00F32694"/>
    <w:rsid w:val="00F4539C"/>
    <w:rsid w:val="00F67D8A"/>
    <w:rsid w:val="00F72B7E"/>
    <w:rsid w:val="00F902FE"/>
    <w:rsid w:val="00F9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02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E502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E502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02A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E502A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E502A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9083&amp;dst=100071" TargetMode="External"/><Relationship Id="rId13" Type="http://schemas.openxmlformats.org/officeDocument/2006/relationships/hyperlink" Target="https://login.consultant.ru/link/?req=doc&amp;base=RZR&amp;n=5075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502257" TargetMode="External"/><Relationship Id="rId12" Type="http://schemas.openxmlformats.org/officeDocument/2006/relationships/hyperlink" Target="https://login.consultant.ru/link/?req=doc&amp;base=RZR&amp;n=482667&amp;dst=10020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507526&amp;dst=1009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02257&amp;dst=100054" TargetMode="External"/><Relationship Id="rId11" Type="http://schemas.openxmlformats.org/officeDocument/2006/relationships/hyperlink" Target="https://login.consultant.ru/link/?req=doc&amp;base=RZR&amp;n=483023&amp;dst=100331" TargetMode="External"/><Relationship Id="rId5" Type="http://schemas.openxmlformats.org/officeDocument/2006/relationships/hyperlink" Target="https://login.consultant.ru/link/?req=doc&amp;base=RZR&amp;n=502257" TargetMode="External"/><Relationship Id="rId15" Type="http://schemas.openxmlformats.org/officeDocument/2006/relationships/hyperlink" Target="https://login.consultant.ru/link/?req=doc&amp;base=RZR&amp;n=507526&amp;dst=438" TargetMode="External"/><Relationship Id="rId10" Type="http://schemas.openxmlformats.org/officeDocument/2006/relationships/hyperlink" Target="https://login.consultant.ru/link/?req=doc&amp;base=RZR&amp;n=484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79083&amp;dst=100071" TargetMode="External"/><Relationship Id="rId14" Type="http://schemas.openxmlformats.org/officeDocument/2006/relationships/hyperlink" Target="https://login.consultant.ru/link/?req=doc&amp;base=RZR&amp;n=507526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2025-07-29T06:27:00Z</dcterms:created>
  <dcterms:modified xsi:type="dcterms:W3CDTF">2025-07-29T06:30:00Z</dcterms:modified>
</cp:coreProperties>
</file>