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3B" w:rsidRPr="00F7593B" w:rsidRDefault="00F7593B" w:rsidP="00F7593B">
      <w:pPr>
        <w:shd w:val="clear" w:color="auto" w:fill="FFFFFF"/>
        <w:spacing w:after="120"/>
        <w:textAlignment w:val="top"/>
        <w:outlineLvl w:val="0"/>
        <w:rPr>
          <w:bCs/>
          <w:sz w:val="28"/>
          <w:szCs w:val="28"/>
          <w:lang w:val="ru-RU"/>
        </w:rPr>
      </w:pPr>
      <w:r w:rsidRPr="00A933DE">
        <w:rPr>
          <w:b/>
          <w:bCs/>
          <w:color w:val="000000"/>
          <w:kern w:val="36"/>
          <w:lang w:val="ru-RU" w:eastAsia="ru-RU"/>
        </w:rPr>
        <w:t>ПАО «ДЭК»</w:t>
      </w:r>
      <w:r>
        <w:rPr>
          <w:b/>
          <w:bCs/>
          <w:color w:val="000000"/>
          <w:kern w:val="36"/>
          <w:lang w:val="ru-RU" w:eastAsia="ru-RU"/>
        </w:rPr>
        <w:t>: в мае жители Хабаровского края получили единый платежный документ нового формата</w:t>
      </w:r>
      <w:r w:rsidRPr="00A933DE">
        <w:rPr>
          <w:b/>
          <w:bCs/>
          <w:color w:val="000000"/>
          <w:kern w:val="36"/>
          <w:lang w:val="ru-RU" w:eastAsia="ru-RU"/>
        </w:rPr>
        <w:t xml:space="preserve"> </w:t>
      </w:r>
    </w:p>
    <w:p w:rsidR="004405FB" w:rsidRPr="00E16D95" w:rsidRDefault="00F7593B" w:rsidP="00E16D95">
      <w:pPr>
        <w:spacing w:after="160" w:line="252" w:lineRule="auto"/>
        <w:rPr>
          <w:rFonts w:eastAsia="Calibri"/>
          <w:lang w:val="ru-RU"/>
        </w:rPr>
      </w:pPr>
      <w:r w:rsidRPr="00E16D95">
        <w:rPr>
          <w:rFonts w:eastAsia="Calibri"/>
          <w:lang w:val="ru-RU"/>
        </w:rPr>
        <w:t xml:space="preserve">В начале мая жители </w:t>
      </w:r>
      <w:r w:rsidR="004405FB" w:rsidRPr="00E16D95">
        <w:rPr>
          <w:rFonts w:eastAsia="Calibri"/>
          <w:lang w:val="ru-RU"/>
        </w:rPr>
        <w:t xml:space="preserve">Хабаровского </w:t>
      </w:r>
      <w:r w:rsidRPr="00E16D95">
        <w:rPr>
          <w:rFonts w:eastAsia="Calibri"/>
          <w:lang w:val="ru-RU"/>
        </w:rPr>
        <w:t xml:space="preserve">края получили квитанции на оплату коммунальных услуг. Единый платежный документ (ЕПД) с расчетами за потребленную электрическую и тепловую энергию от гарантирующего поставщика ПАО «ДЭК» отличается по формату от ранее доставляемых квитанций. </w:t>
      </w:r>
    </w:p>
    <w:p w:rsidR="004405FB" w:rsidRPr="00E16D95" w:rsidRDefault="004405FB" w:rsidP="00E16D95">
      <w:pPr>
        <w:spacing w:after="160" w:line="252" w:lineRule="auto"/>
        <w:rPr>
          <w:rFonts w:eastAsia="Calibri"/>
          <w:lang w:val="ru-RU"/>
        </w:rPr>
      </w:pPr>
      <w:r w:rsidRPr="00E16D95">
        <w:rPr>
          <w:rFonts w:eastAsia="Calibri"/>
          <w:lang w:val="ru-RU"/>
        </w:rPr>
        <w:t xml:space="preserve">ПАО «ДЭК» реализован новый сервис «Платежная страница ПАО «ДЭК»».  На квитанции, которую </w:t>
      </w:r>
      <w:r w:rsidR="00370BF9" w:rsidRPr="00E16D95">
        <w:rPr>
          <w:rFonts w:eastAsia="Calibri"/>
          <w:lang w:val="ru-RU"/>
        </w:rPr>
        <w:t xml:space="preserve">клиенты </w:t>
      </w:r>
      <w:r w:rsidRPr="00E16D95">
        <w:rPr>
          <w:rFonts w:eastAsia="Calibri"/>
          <w:lang w:val="ru-RU"/>
        </w:rPr>
        <w:t>получили в мае за оказанные услуги в апреле, в верхней левой части размещен QR-код. С помощью данного QR-кода клиенты компании могут «в один клик» без регистрации произвести оплату за коммунальные услуги: электроэнергия, отопление</w:t>
      </w:r>
      <w:r w:rsidR="00370BF9" w:rsidRPr="00E16D95">
        <w:rPr>
          <w:rFonts w:eastAsia="Calibri"/>
          <w:lang w:val="ru-RU"/>
        </w:rPr>
        <w:t xml:space="preserve"> и</w:t>
      </w:r>
      <w:r w:rsidRPr="00E16D95">
        <w:rPr>
          <w:rFonts w:eastAsia="Calibri"/>
          <w:lang w:val="ru-RU"/>
        </w:rPr>
        <w:t xml:space="preserve"> ГВС.</w:t>
      </w:r>
    </w:p>
    <w:p w:rsidR="00723B0B" w:rsidRPr="00E16D95" w:rsidRDefault="00370BF9" w:rsidP="00E16D95">
      <w:pPr>
        <w:spacing w:after="160" w:line="252" w:lineRule="auto"/>
        <w:rPr>
          <w:rFonts w:eastAsia="Calibri"/>
          <w:lang w:val="ru-RU"/>
        </w:rPr>
      </w:pPr>
      <w:r w:rsidRPr="00E16D95">
        <w:rPr>
          <w:rFonts w:eastAsia="Calibri"/>
          <w:lang w:val="ru-RU"/>
        </w:rPr>
        <w:t>- Нововведение значительно экономит время</w:t>
      </w:r>
      <w:r w:rsidR="007C5EB2" w:rsidRPr="00E16D95">
        <w:rPr>
          <w:rFonts w:eastAsia="Calibri"/>
          <w:lang w:val="ru-RU"/>
        </w:rPr>
        <w:t xml:space="preserve"> и денежные средства на оплату комиссии по осуществляемым платежам. </w:t>
      </w:r>
      <w:r w:rsidR="00EA319C">
        <w:rPr>
          <w:rFonts w:eastAsia="Calibri"/>
          <w:lang w:val="ru-RU"/>
        </w:rPr>
        <w:t>Ч</w:t>
      </w:r>
      <w:r w:rsidR="00723B0B" w:rsidRPr="00E16D95">
        <w:rPr>
          <w:rFonts w:eastAsia="Calibri"/>
          <w:lang w:val="ru-RU"/>
        </w:rPr>
        <w:t>ерез платежную страницу ПАО «ДЭК» все платежи осуществляются без комиссии, за исключением оплаты услуг АО «ДГК». На совершение платежей в отношении услуг АО «ДГК» действуют выгодные тарифы, комиссия при оплате услуг:</w:t>
      </w:r>
      <w:r w:rsidR="00EA319C">
        <w:rPr>
          <w:rFonts w:eastAsia="Calibri"/>
          <w:lang w:val="ru-RU"/>
        </w:rPr>
        <w:t xml:space="preserve"> </w:t>
      </w:r>
      <w:r w:rsidR="00723B0B" w:rsidRPr="00E16D95">
        <w:rPr>
          <w:rFonts w:eastAsia="Calibri"/>
          <w:lang w:val="ru-RU"/>
        </w:rPr>
        <w:t>банковской картой – 0,50% от суммы оплаты;</w:t>
      </w:r>
      <w:r w:rsidR="00EA319C">
        <w:rPr>
          <w:rFonts w:eastAsia="Calibri"/>
          <w:lang w:val="ru-RU"/>
        </w:rPr>
        <w:t xml:space="preserve"> </w:t>
      </w:r>
      <w:r w:rsidR="00723B0B" w:rsidRPr="00E16D95">
        <w:rPr>
          <w:rFonts w:eastAsia="Calibri"/>
          <w:lang w:val="ru-RU"/>
        </w:rPr>
        <w:t>через систему быстрых платежей (СБП) – 0,20% от суммы оплаты, но не более 10 рублей за перевод, - рассказывает начальник управления по работе с частными клиентами и ИКУ филиала ПАО «ДЭК»-«Хабаровскэнергосбыт» Николай Долженков.</w:t>
      </w:r>
    </w:p>
    <w:p w:rsidR="00370BF9" w:rsidRPr="00E16D95" w:rsidRDefault="007C5EB2" w:rsidP="00E16D95">
      <w:pPr>
        <w:spacing w:after="160" w:line="252" w:lineRule="auto"/>
        <w:rPr>
          <w:rFonts w:eastAsia="Calibri"/>
          <w:lang w:val="ru-RU"/>
        </w:rPr>
      </w:pPr>
      <w:r w:rsidRPr="00E16D95">
        <w:rPr>
          <w:rFonts w:eastAsia="Calibri"/>
          <w:lang w:val="ru-RU"/>
        </w:rPr>
        <w:t>Д</w:t>
      </w:r>
      <w:r w:rsidR="00370BF9" w:rsidRPr="00E16D95">
        <w:rPr>
          <w:rFonts w:eastAsia="Calibri"/>
          <w:lang w:val="ru-RU"/>
        </w:rPr>
        <w:t>ля оплаты с помощью платежной страницы ПАО «ДЭК» необходимо отсканировать QR-код, расположенный в верхней левой части квитанции, используя камеру смартфона или мобильное приложение «сканер QR-кодов». Или перейти по индивидуальной ссылке на платежную страницу ПАО «ДЭК», размещенной в электронном письме, направленном вместе с электронной квитанцией на</w:t>
      </w:r>
      <w:r w:rsidR="00737304" w:rsidRPr="00E16D95">
        <w:rPr>
          <w:rFonts w:eastAsia="Calibri"/>
          <w:lang w:val="ru-RU"/>
        </w:rPr>
        <w:t xml:space="preserve"> адрес электронной </w:t>
      </w:r>
      <w:r w:rsidR="00370BF9" w:rsidRPr="00E16D95">
        <w:rPr>
          <w:rFonts w:eastAsia="Calibri"/>
          <w:lang w:val="ru-RU"/>
        </w:rPr>
        <w:t>почт</w:t>
      </w:r>
      <w:r w:rsidR="00737304" w:rsidRPr="00E16D95">
        <w:rPr>
          <w:rFonts w:eastAsia="Calibri"/>
          <w:lang w:val="ru-RU"/>
        </w:rPr>
        <w:t>ы</w:t>
      </w:r>
      <w:r w:rsidR="00370BF9" w:rsidRPr="00E16D95">
        <w:rPr>
          <w:rFonts w:eastAsia="Calibri"/>
          <w:lang w:val="ru-RU"/>
        </w:rPr>
        <w:t>.</w:t>
      </w:r>
      <w:r w:rsidRPr="00E16D95">
        <w:rPr>
          <w:rFonts w:eastAsia="Calibri"/>
          <w:lang w:val="ru-RU"/>
        </w:rPr>
        <w:t xml:space="preserve"> </w:t>
      </w:r>
      <w:r w:rsidR="00370BF9" w:rsidRPr="00E16D95">
        <w:rPr>
          <w:rFonts w:eastAsia="Calibri"/>
          <w:lang w:val="ru-RU"/>
        </w:rPr>
        <w:t xml:space="preserve">После сканирования QR-кода </w:t>
      </w:r>
      <w:r w:rsidRPr="00E16D95">
        <w:rPr>
          <w:rFonts w:eastAsia="Calibri"/>
          <w:lang w:val="ru-RU"/>
        </w:rPr>
        <w:t xml:space="preserve">клиент </w:t>
      </w:r>
      <w:r w:rsidR="00737304" w:rsidRPr="00E16D95">
        <w:rPr>
          <w:rFonts w:eastAsia="Calibri"/>
          <w:lang w:val="ru-RU"/>
        </w:rPr>
        <w:t xml:space="preserve">компании </w:t>
      </w:r>
      <w:r w:rsidR="00370BF9" w:rsidRPr="00E16D95">
        <w:rPr>
          <w:rFonts w:eastAsia="Calibri"/>
          <w:lang w:val="ru-RU"/>
        </w:rPr>
        <w:t xml:space="preserve">попадает на страницу оплаты, на которой для лицевых счетов клиентов, ранее не зарегистрированных в личном кабинете, будет предложена форма регистрации. По желанию </w:t>
      </w:r>
      <w:r w:rsidRPr="00E16D95">
        <w:rPr>
          <w:rFonts w:eastAsia="Calibri"/>
          <w:lang w:val="ru-RU"/>
        </w:rPr>
        <w:t xml:space="preserve">потребителя </w:t>
      </w:r>
      <w:r w:rsidR="00370BF9" w:rsidRPr="00E16D95">
        <w:rPr>
          <w:rFonts w:eastAsia="Calibri"/>
          <w:lang w:val="ru-RU"/>
        </w:rPr>
        <w:t>можно произвести регистрацию в личном кабинете, нажав кнопку «Зарегистрироваться», либо продолжить оплату, нажав кнопку «Продолжить без регистрации».</w:t>
      </w:r>
    </w:p>
    <w:p w:rsidR="0067523C" w:rsidRPr="00E16D95" w:rsidRDefault="00370BF9" w:rsidP="0067523C">
      <w:pPr>
        <w:spacing w:after="160" w:line="252" w:lineRule="auto"/>
        <w:rPr>
          <w:rFonts w:eastAsia="Calibri"/>
          <w:lang w:val="ru-RU"/>
        </w:rPr>
      </w:pPr>
      <w:r w:rsidRPr="00E16D95">
        <w:rPr>
          <w:rFonts w:eastAsia="Calibri"/>
          <w:lang w:val="ru-RU"/>
        </w:rPr>
        <w:t>В окне открывшейся платежной страницы проверить сумму к оплате и при необходимости скорректировать ее</w:t>
      </w:r>
      <w:r w:rsidR="0067523C">
        <w:rPr>
          <w:rFonts w:eastAsia="Calibri"/>
          <w:lang w:val="ru-RU"/>
        </w:rPr>
        <w:t>.</w:t>
      </w:r>
      <w:r w:rsidR="0067523C" w:rsidRPr="0067523C">
        <w:rPr>
          <w:rFonts w:eastAsia="Calibri"/>
          <w:lang w:val="ru-RU"/>
        </w:rPr>
        <w:t xml:space="preserve"> </w:t>
      </w:r>
      <w:r w:rsidR="0067523C" w:rsidRPr="00E16D95">
        <w:rPr>
          <w:rFonts w:eastAsia="Calibri"/>
          <w:lang w:val="ru-RU"/>
        </w:rPr>
        <w:t xml:space="preserve">Выбрать способ оплаты из выпадающего списка: Банковской картой или через систему быстрых платежей (СБП). </w:t>
      </w:r>
    </w:p>
    <w:p w:rsidR="00370BF9" w:rsidRPr="00E16D95" w:rsidRDefault="00370BF9" w:rsidP="00E16D95">
      <w:pPr>
        <w:spacing w:after="160" w:line="252" w:lineRule="auto"/>
        <w:rPr>
          <w:rFonts w:eastAsia="Calibri"/>
          <w:lang w:val="ru-RU"/>
        </w:rPr>
      </w:pPr>
      <w:r w:rsidRPr="00E16D95">
        <w:rPr>
          <w:rFonts w:eastAsia="Calibri"/>
          <w:lang w:val="ru-RU"/>
        </w:rPr>
        <w:t>Нажать кнопку «Оплатить», ввести данные банковской карты (для оплаты банковской картой).</w:t>
      </w:r>
    </w:p>
    <w:p w:rsidR="00370BF9" w:rsidRDefault="00370BF9" w:rsidP="00E16D95">
      <w:pPr>
        <w:spacing w:after="160" w:line="252" w:lineRule="auto"/>
        <w:rPr>
          <w:rFonts w:eastAsia="Calibri"/>
          <w:lang w:val="ru-RU"/>
        </w:rPr>
      </w:pPr>
      <w:r w:rsidRPr="00E16D95">
        <w:rPr>
          <w:rFonts w:eastAsia="Calibri"/>
          <w:lang w:val="ru-RU"/>
        </w:rPr>
        <w:t xml:space="preserve"> Для получения квитанции на электронный адрес поставить «галочку» в поле «Получить квитанцию», и в поле ниже указать на какой именно электронный адрес направить чек об оплате. Нажать кнопку «Оплатить».</w:t>
      </w:r>
    </w:p>
    <w:p w:rsidR="0067523C" w:rsidRPr="00C06023" w:rsidRDefault="0067523C" w:rsidP="0067523C">
      <w:pPr>
        <w:tabs>
          <w:tab w:val="left" w:pos="2057"/>
        </w:tabs>
        <w:rPr>
          <w:lang w:val="ru-RU"/>
        </w:rPr>
      </w:pPr>
      <w:r w:rsidRPr="00C06023">
        <w:rPr>
          <w:lang w:val="ru-RU"/>
        </w:rPr>
        <w:t>Инструкция по расшифровке полей ЕПД для территории</w:t>
      </w:r>
      <w:r>
        <w:rPr>
          <w:lang w:val="ru-RU"/>
        </w:rPr>
        <w:t xml:space="preserve"> </w:t>
      </w:r>
      <w:r w:rsidRPr="00C06023">
        <w:rPr>
          <w:lang w:val="ru-RU"/>
        </w:rPr>
        <w:t xml:space="preserve"> Хабаровского края</w:t>
      </w:r>
      <w:r>
        <w:rPr>
          <w:lang w:val="ru-RU"/>
        </w:rPr>
        <w:t>:</w:t>
      </w:r>
    </w:p>
    <w:p w:rsidR="0067523C" w:rsidRPr="00E16D95" w:rsidRDefault="0067523C" w:rsidP="00E16D95">
      <w:pPr>
        <w:spacing w:after="160" w:line="252" w:lineRule="auto"/>
        <w:rPr>
          <w:rFonts w:eastAsia="Calibri"/>
          <w:lang w:val="ru-RU"/>
        </w:rPr>
      </w:pPr>
    </w:p>
    <w:p w:rsidR="00C06023" w:rsidRDefault="00C06023" w:rsidP="00E16D95">
      <w:pPr>
        <w:spacing w:after="160" w:line="252" w:lineRule="auto"/>
        <w:rPr>
          <w:rFonts w:eastAsia="Calibri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860112" cy="7017416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505" cy="702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023" w:rsidRDefault="00C06023" w:rsidP="00C06023">
      <w:pPr>
        <w:tabs>
          <w:tab w:val="left" w:pos="1418"/>
        </w:tabs>
        <w:jc w:val="center"/>
      </w:pP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>1. Справочная информация с цифровым кодом, используемая для передачи показаний по телефону контакт-центра.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>2. Сведения о собственнике/нанимателе, адрес доставки и адрес помещения.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>3. Номер Вашего лицевого счета для услуг оказываемых ПАО «ДЭК» и АО «ДГК».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lastRenderedPageBreak/>
        <w:t>4. Период, за который выставлена квитанция.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>5. Срок оплаты квитанции.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>6. Итоговая сумма к оплате по услугам ПАО «ДЭК».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>7. Итоговая сумма к оплате по услугам АО «ДГК».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>8. Сумма к оплате по услугам ПАО «ДЭК» в текущем периоде с учетом рекомендуемого платежа, переплаты или недоплаты.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>9. Сумма к оплате по услугам АО «ДГК» в текущем периоде с учетом рекомендуемого платежа, переплаты или недоплаты.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 xml:space="preserve">10. </w:t>
      </w:r>
      <w:r w:rsidRPr="0078276C">
        <w:t>QR</w:t>
      </w:r>
      <w:r w:rsidRPr="00C06023">
        <w:rPr>
          <w:lang w:val="ru-RU"/>
        </w:rPr>
        <w:t>-код для оплаты услуг ДГК в терминалах Сбербанка и в банковских приложениях.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>11. Сведения об объекте недвижимости, площади жилого помещения и о количестве проживающих.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>12. Способ, с помощью которого определен объем потребленной услуги за расчетный месяц / размер повышающего коэффициента, применяемого при отсутствии индивидуального прибора учета в соответствии с ПП РФ №354. Способ расчета указан в виде цифрового кода. Расшифровка кода указана в счете ниже.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>13. Итого к оплате за расчетный период по услугам ПАО «ДЭК» = Объем потребления услуги * Тариф + Компенсация + Перерасчеты.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>14. Итого к оплате за расчетный период по услугам АО «ДГК» = Объем потребления услуги * Тариф + Компенсация + Перерасчеты + Размер платы от применения повышающего КФ.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>15. Размер задолженности/переплаты на начало расчетного периода по услугам ПАО «ДЭК».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>16. Размер задолженности/переплаты на начало расчетного периода по услугам АО «ДГК».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>17. При истечении срока поверки прибор учета подлежит замене либо поверке.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>18. Последние показания, непосредственно переданные потребителем.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>19. Сведения о перерасчетах, произведенных в расчетном периоде.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>20. Сведения о показаниях общедомовых приборов учета и объеме потреблении по ОДПУ.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>21. Информация о пене, госпошлине.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>22. Контактные данные офиса компании, по которым можно передать показания счетчиков, получить информацию по расчетам и задолженности и  решить другие вопросы, связанные с Вашим обслуживанием.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 xml:space="preserve">23. </w:t>
      </w:r>
      <w:r w:rsidRPr="0078276C">
        <w:t>QR</w:t>
      </w:r>
      <w:r w:rsidRPr="00C06023">
        <w:rPr>
          <w:lang w:val="ru-RU"/>
        </w:rPr>
        <w:t>-код для оплаты через ПАО «ДЭК» («Платежная страница ДЭК»).</w:t>
      </w:r>
    </w:p>
    <w:p w:rsidR="00C06023" w:rsidRPr="00C06023" w:rsidRDefault="00C06023" w:rsidP="00C06023">
      <w:pPr>
        <w:tabs>
          <w:tab w:val="left" w:pos="2057"/>
        </w:tabs>
        <w:ind w:left="426"/>
        <w:rPr>
          <w:lang w:val="ru-RU"/>
        </w:rPr>
      </w:pPr>
      <w:r w:rsidRPr="00C06023">
        <w:rPr>
          <w:lang w:val="ru-RU"/>
        </w:rPr>
        <w:t xml:space="preserve">24. </w:t>
      </w:r>
      <w:r w:rsidRPr="0078276C">
        <w:t>QR</w:t>
      </w:r>
      <w:r w:rsidRPr="00C06023">
        <w:rPr>
          <w:lang w:val="ru-RU"/>
        </w:rPr>
        <w:t>-код для оплаты услуг ДЭК в терминалах Сбербанка и в банковских приложениях.</w:t>
      </w:r>
    </w:p>
    <w:p w:rsidR="00C06023" w:rsidRDefault="00C06023" w:rsidP="00E16D95">
      <w:pPr>
        <w:spacing w:after="160" w:line="252" w:lineRule="auto"/>
        <w:rPr>
          <w:rFonts w:eastAsia="Calibri"/>
          <w:lang w:val="ru-RU"/>
        </w:rPr>
      </w:pPr>
    </w:p>
    <w:p w:rsidR="00A06501" w:rsidRPr="00E16D95" w:rsidRDefault="00A06501" w:rsidP="00E16D95">
      <w:pPr>
        <w:spacing w:after="160" w:line="252" w:lineRule="auto"/>
        <w:rPr>
          <w:rFonts w:eastAsia="Calibri"/>
          <w:lang w:val="ru-RU"/>
        </w:rPr>
      </w:pPr>
      <w:r w:rsidRPr="00E16D95">
        <w:rPr>
          <w:rFonts w:eastAsia="Calibri"/>
          <w:lang w:val="ru-RU"/>
        </w:rPr>
        <w:t xml:space="preserve">По всем вопросам обращаться непосредственно через интернет-приемную на сайте ПАО «ДЭК», где можно не только задать вопрос, но и написать заявление, </w:t>
      </w:r>
      <w:r w:rsidR="00BA03E6">
        <w:rPr>
          <w:rFonts w:eastAsia="Calibri"/>
          <w:lang w:val="ru-RU"/>
        </w:rPr>
        <w:t xml:space="preserve">направить </w:t>
      </w:r>
      <w:r w:rsidRPr="00E16D95">
        <w:rPr>
          <w:rFonts w:eastAsia="Calibri"/>
          <w:lang w:val="ru-RU"/>
        </w:rPr>
        <w:t xml:space="preserve">пакет документов, через электронную почту </w:t>
      </w:r>
      <w:hyperlink r:id="rId9" w:history="1">
        <w:r w:rsidRPr="00E16D95">
          <w:rPr>
            <w:rFonts w:eastAsia="Calibri"/>
            <w:lang w:val="ru-RU"/>
          </w:rPr>
          <w:t>info@khab.dvec.ru</w:t>
        </w:r>
      </w:hyperlink>
      <w:r w:rsidRPr="00E16D95">
        <w:rPr>
          <w:rFonts w:eastAsia="Calibri"/>
          <w:lang w:val="ru-RU"/>
        </w:rPr>
        <w:t xml:space="preserve">, по тел. 8-800-234-77-77, а также в офисы компании. </w:t>
      </w:r>
    </w:p>
    <w:p w:rsidR="00A52F2B" w:rsidRPr="00626DA2" w:rsidRDefault="00A52F2B">
      <w:pPr>
        <w:spacing w:after="120"/>
        <w:rPr>
          <w:lang w:val="ru-RU"/>
        </w:rPr>
      </w:pPr>
      <w:bookmarkStart w:id="0" w:name="_GoBack"/>
      <w:bookmarkEnd w:id="0"/>
    </w:p>
    <w:sectPr w:rsidR="00A52F2B" w:rsidRPr="00626DA2">
      <w:headerReference w:type="default" r:id="rId10"/>
      <w:footerReference w:type="default" r:id="rId11"/>
      <w:pgSz w:w="11906" w:h="16838"/>
      <w:pgMar w:top="2410" w:right="701" w:bottom="709" w:left="1985" w:header="624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44" w:rsidRDefault="00B01844">
      <w:r>
        <w:separator/>
      </w:r>
    </w:p>
  </w:endnote>
  <w:endnote w:type="continuationSeparator" w:id="0">
    <w:p w:rsidR="00B01844" w:rsidRDefault="00B0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inion Pro"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2B" w:rsidRDefault="00761C77">
    <w:pPr>
      <w:tabs>
        <w:tab w:val="left" w:pos="0"/>
        <w:tab w:val="center" w:pos="4677"/>
        <w:tab w:val="center" w:pos="4887"/>
        <w:tab w:val="right" w:pos="9355"/>
        <w:tab w:val="right" w:pos="9774"/>
      </w:tabs>
      <w:spacing w:before="120"/>
      <w:outlineLvl w:val="0"/>
    </w:pPr>
    <w:r>
      <w:rPr>
        <w:rFonts w:eastAsia="Arial Unicode MS"/>
        <w:b/>
        <w:color w:val="0103CB"/>
        <w:sz w:val="18"/>
        <w:u w:color="0103CB"/>
        <w:lang w:val="ru-RU"/>
      </w:rPr>
      <w:tab/>
    </w:r>
    <w:r>
      <w:fldChar w:fldCharType="begin"/>
    </w:r>
    <w:r>
      <w:instrText xml:space="preserve"> PAGE </w:instrText>
    </w:r>
    <w:r>
      <w:fldChar w:fldCharType="separate"/>
    </w:r>
    <w:r w:rsidR="00A02565">
      <w:rPr>
        <w:noProof/>
      </w:rPr>
      <w:t>3</w:t>
    </w:r>
    <w:r>
      <w:fldChar w:fldCharType="end"/>
    </w:r>
  </w:p>
  <w:p w:rsidR="00A52F2B" w:rsidRDefault="00A52F2B">
    <w:pPr>
      <w:tabs>
        <w:tab w:val="center" w:pos="4677"/>
        <w:tab w:val="right" w:pos="9355"/>
      </w:tabs>
      <w:spacing w:before="120"/>
      <w:outlineLvl w:val="0"/>
      <w:rPr>
        <w:rFonts w:eastAsia="Arial Unicode MS"/>
        <w:b/>
        <w:color w:val="0103CB"/>
        <w:sz w:val="18"/>
        <w:u w:color="0103CB"/>
        <w:lang w:val="ru-RU"/>
      </w:rPr>
    </w:pPr>
  </w:p>
  <w:p w:rsidR="00A52F2B" w:rsidRDefault="00761C77">
    <w:pPr>
      <w:tabs>
        <w:tab w:val="left" w:pos="0"/>
        <w:tab w:val="center" w:pos="4677"/>
        <w:tab w:val="center" w:pos="4887"/>
        <w:tab w:val="right" w:pos="9355"/>
        <w:tab w:val="right" w:pos="9774"/>
      </w:tabs>
      <w:spacing w:before="120"/>
      <w:jc w:val="center"/>
      <w:outlineLvl w:val="0"/>
      <w:rPr>
        <w:sz w:val="20"/>
        <w:lang w:val="ru-RU" w:eastAsia="ru-RU"/>
      </w:rPr>
    </w:pPr>
    <w:r>
      <w:rPr>
        <w:noProof/>
        <w:lang w:val="ru-RU" w:eastAsia="ru-RU"/>
      </w:rPr>
      <mc:AlternateContent>
        <mc:Choice Requires="wps">
          <w:drawing>
            <wp:anchor distT="19050" distB="19050" distL="0" distR="0" simplePos="0" relativeHeight="3" behindDoc="1" locked="0" layoutInCell="0" allowOverlap="1" wp14:anchorId="074077F4">
              <wp:simplePos x="0" y="0"/>
              <wp:positionH relativeFrom="page">
                <wp:posOffset>871855</wp:posOffset>
              </wp:positionH>
              <wp:positionV relativeFrom="page">
                <wp:posOffset>10018395</wp:posOffset>
              </wp:positionV>
              <wp:extent cx="6067425" cy="3175"/>
              <wp:effectExtent l="19050" t="19685" r="19050" b="19685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40" cy="3240"/>
                      </a:xfrm>
                      <a:prstGeom prst="line">
                        <a:avLst/>
                      </a:prstGeom>
                      <a:ln w="38160">
                        <a:solidFill>
                          <a:srgbClr val="2176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7A8EFE" id="Line 3" o:spid="_x0000_s1026" style="position:absolute;z-index:-503316477;visibility:visible;mso-wrap-style:square;mso-wrap-distance-left:0;mso-wrap-distance-top:1.5pt;mso-wrap-distance-right:0;mso-wrap-distance-bottom:1.5pt;mso-position-horizontal:absolute;mso-position-horizontal-relative:page;mso-position-vertical:absolute;mso-position-vertical-relative:page" from="68.65pt,788.85pt" to="546.4pt,7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" o:allowincell="f" strokecolor="#2176ff" strokeweight="1.06mm">
              <w10:wrap anchorx="page" anchory="page"/>
            </v:line>
          </w:pict>
        </mc:Fallback>
      </mc:AlternateContent>
    </w:r>
    <w:r>
      <w:rPr>
        <w:rFonts w:eastAsia="Arial Unicode MS"/>
        <w:i/>
        <w:color w:val="000000"/>
        <w:sz w:val="20"/>
        <w:u w:color="000000"/>
        <w:lang w:val="ru-RU"/>
      </w:rPr>
      <w:t>Отдел информационной политики ПАО «ДЭК»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44" w:rsidRDefault="00B01844">
      <w:r>
        <w:separator/>
      </w:r>
    </w:p>
  </w:footnote>
  <w:footnote w:type="continuationSeparator" w:id="0">
    <w:p w:rsidR="00B01844" w:rsidRDefault="00B01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2B" w:rsidRDefault="00761C77">
    <w:pPr>
      <w:rPr>
        <w:rFonts w:eastAsia="Arial Unicode MS"/>
        <w:color w:val="000000"/>
        <w:sz w:val="20"/>
        <w:u w:color="000000"/>
        <w:lang w:val="ru-RU"/>
      </w:rPr>
    </w:pPr>
    <w:r>
      <w:rPr>
        <w:noProof/>
        <w:lang w:val="ru-RU" w:eastAsia="ru-RU"/>
      </w:rPr>
      <w:drawing>
        <wp:inline distT="0" distB="0" distL="0" distR="0">
          <wp:extent cx="1638300" cy="720090"/>
          <wp:effectExtent l="0" t="0" r="0" b="0"/>
          <wp:docPr id="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 Unicode MS"/>
        <w:color w:val="000000"/>
        <w:sz w:val="20"/>
        <w:u w:color="000000"/>
        <w:lang w:val="ru-RU"/>
      </w:rPr>
      <w:t xml:space="preserve">                                                                      </w:t>
    </w:r>
  </w:p>
  <w:p w:rsidR="00A52F2B" w:rsidRDefault="00A52F2B">
    <w:pPr>
      <w:spacing w:before="120"/>
      <w:outlineLvl w:val="0"/>
      <w:rPr>
        <w:rFonts w:eastAsia="Arial Unicode MS"/>
        <w:color w:val="000000"/>
        <w:sz w:val="20"/>
        <w:u w:color="000000"/>
        <w:lang w:val="ru-RU"/>
      </w:rPr>
    </w:pPr>
  </w:p>
  <w:p w:rsidR="00A52F2B" w:rsidRDefault="00761C77">
    <w:pPr>
      <w:spacing w:before="120"/>
      <w:outlineLvl w:val="0"/>
      <w:rPr>
        <w:rFonts w:ascii="Arial" w:eastAsia="Arial Unicode MS" w:hAnsi="Arial"/>
        <w:b/>
        <w:color w:val="000000"/>
        <w:sz w:val="28"/>
        <w:u w:color="000000"/>
        <w:lang w:val="ru-RU"/>
      </w:rPr>
    </w:pPr>
    <w:r>
      <w:rPr>
        <w:rFonts w:ascii="Arial" w:eastAsia="Arial Unicode MS" w:hAnsi="Arial"/>
        <w:b/>
        <w:color w:val="000000"/>
        <w:sz w:val="28"/>
        <w:u w:color="000000"/>
        <w:lang w:val="ru-RU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EBE"/>
    <w:multiLevelType w:val="multilevel"/>
    <w:tmpl w:val="0D6A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87E48A0"/>
    <w:multiLevelType w:val="multilevel"/>
    <w:tmpl w:val="D776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E731011"/>
    <w:multiLevelType w:val="multilevel"/>
    <w:tmpl w:val="192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1A14294"/>
    <w:multiLevelType w:val="multilevel"/>
    <w:tmpl w:val="F9CA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DB532E2"/>
    <w:multiLevelType w:val="multilevel"/>
    <w:tmpl w:val="A74C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E4845E8"/>
    <w:multiLevelType w:val="hybridMultilevel"/>
    <w:tmpl w:val="544089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4974ED6"/>
    <w:multiLevelType w:val="multilevel"/>
    <w:tmpl w:val="35E4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AC67D56"/>
    <w:multiLevelType w:val="multilevel"/>
    <w:tmpl w:val="5CFC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2B"/>
    <w:rsid w:val="00016F02"/>
    <w:rsid w:val="0002312F"/>
    <w:rsid w:val="00074F6C"/>
    <w:rsid w:val="000A2596"/>
    <w:rsid w:val="00102722"/>
    <w:rsid w:val="00103858"/>
    <w:rsid w:val="00192BF8"/>
    <w:rsid w:val="001A61B4"/>
    <w:rsid w:val="001C4BFF"/>
    <w:rsid w:val="00205BAE"/>
    <w:rsid w:val="00220B9C"/>
    <w:rsid w:val="00221C6A"/>
    <w:rsid w:val="002459FC"/>
    <w:rsid w:val="00273C0F"/>
    <w:rsid w:val="00276C79"/>
    <w:rsid w:val="002B4D3E"/>
    <w:rsid w:val="002C59EA"/>
    <w:rsid w:val="002D005A"/>
    <w:rsid w:val="002E22EA"/>
    <w:rsid w:val="002F72BE"/>
    <w:rsid w:val="003243AC"/>
    <w:rsid w:val="003434C0"/>
    <w:rsid w:val="00370BF9"/>
    <w:rsid w:val="003C00B0"/>
    <w:rsid w:val="003C0E4F"/>
    <w:rsid w:val="00400614"/>
    <w:rsid w:val="004405FB"/>
    <w:rsid w:val="004538FE"/>
    <w:rsid w:val="004D2AD3"/>
    <w:rsid w:val="0053422A"/>
    <w:rsid w:val="005403F8"/>
    <w:rsid w:val="00573F2E"/>
    <w:rsid w:val="005913F4"/>
    <w:rsid w:val="00592A91"/>
    <w:rsid w:val="005C248B"/>
    <w:rsid w:val="005E77D1"/>
    <w:rsid w:val="006149A2"/>
    <w:rsid w:val="00626DA2"/>
    <w:rsid w:val="0067523C"/>
    <w:rsid w:val="00680CDD"/>
    <w:rsid w:val="00682828"/>
    <w:rsid w:val="006C3AC2"/>
    <w:rsid w:val="006E208D"/>
    <w:rsid w:val="006F1631"/>
    <w:rsid w:val="00723B0B"/>
    <w:rsid w:val="00737304"/>
    <w:rsid w:val="00761C77"/>
    <w:rsid w:val="007A75B5"/>
    <w:rsid w:val="007C5EB2"/>
    <w:rsid w:val="007F0C8E"/>
    <w:rsid w:val="007F42D3"/>
    <w:rsid w:val="008479EC"/>
    <w:rsid w:val="00855DC4"/>
    <w:rsid w:val="00873259"/>
    <w:rsid w:val="008758D5"/>
    <w:rsid w:val="008C2536"/>
    <w:rsid w:val="009063AD"/>
    <w:rsid w:val="00910A3D"/>
    <w:rsid w:val="009738E1"/>
    <w:rsid w:val="009738F1"/>
    <w:rsid w:val="009C3DD1"/>
    <w:rsid w:val="009D4CA0"/>
    <w:rsid w:val="009D6761"/>
    <w:rsid w:val="009E2870"/>
    <w:rsid w:val="009F60F4"/>
    <w:rsid w:val="00A02565"/>
    <w:rsid w:val="00A06501"/>
    <w:rsid w:val="00A52F2B"/>
    <w:rsid w:val="00A6233D"/>
    <w:rsid w:val="00A933DE"/>
    <w:rsid w:val="00AC7EDF"/>
    <w:rsid w:val="00B01844"/>
    <w:rsid w:val="00B510BF"/>
    <w:rsid w:val="00B66F41"/>
    <w:rsid w:val="00B807AA"/>
    <w:rsid w:val="00B86CFB"/>
    <w:rsid w:val="00B90C45"/>
    <w:rsid w:val="00B95CDC"/>
    <w:rsid w:val="00BA03E6"/>
    <w:rsid w:val="00BC5D75"/>
    <w:rsid w:val="00BD5FAC"/>
    <w:rsid w:val="00BF327B"/>
    <w:rsid w:val="00C06023"/>
    <w:rsid w:val="00C37621"/>
    <w:rsid w:val="00C93678"/>
    <w:rsid w:val="00CB5D49"/>
    <w:rsid w:val="00CE0A94"/>
    <w:rsid w:val="00D05454"/>
    <w:rsid w:val="00D26714"/>
    <w:rsid w:val="00D75C59"/>
    <w:rsid w:val="00D900C4"/>
    <w:rsid w:val="00D9157B"/>
    <w:rsid w:val="00DC1009"/>
    <w:rsid w:val="00DC62E2"/>
    <w:rsid w:val="00DD53D9"/>
    <w:rsid w:val="00DE153E"/>
    <w:rsid w:val="00DE577F"/>
    <w:rsid w:val="00DF3CC4"/>
    <w:rsid w:val="00E16D95"/>
    <w:rsid w:val="00E26401"/>
    <w:rsid w:val="00E4087D"/>
    <w:rsid w:val="00E45767"/>
    <w:rsid w:val="00EA319C"/>
    <w:rsid w:val="00EE02F6"/>
    <w:rsid w:val="00EE268F"/>
    <w:rsid w:val="00EE5234"/>
    <w:rsid w:val="00EF1A41"/>
    <w:rsid w:val="00F55701"/>
    <w:rsid w:val="00F7593B"/>
    <w:rsid w:val="00F9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5DD5"/>
  <w15:docId w15:val="{F0E3FFB3-51B6-465E-BD54-99B731EC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3B"/>
    <w:pPr>
      <w:jc w:val="both"/>
    </w:pPr>
    <w:rPr>
      <w:color w:val="00000A"/>
      <w:sz w:val="24"/>
      <w:szCs w:val="24"/>
      <w:lang w:val="en-US" w:eastAsia="en-US"/>
    </w:rPr>
  </w:style>
  <w:style w:type="paragraph" w:styleId="1">
    <w:name w:val="heading 1"/>
    <w:basedOn w:val="a"/>
    <w:qFormat/>
    <w:locked/>
    <w:rsid w:val="00FF1887"/>
    <w:pPr>
      <w:spacing w:after="120"/>
      <w:jc w:val="left"/>
      <w:outlineLvl w:val="0"/>
    </w:pPr>
    <w:rPr>
      <w:b/>
      <w:lang w:val="ru-RU"/>
    </w:rPr>
  </w:style>
  <w:style w:type="paragraph" w:styleId="2">
    <w:name w:val="heading 2"/>
    <w:basedOn w:val="a"/>
    <w:uiPriority w:val="9"/>
    <w:unhideWhenUsed/>
    <w:qFormat/>
    <w:locked/>
    <w:rsid w:val="000B1825"/>
    <w:pPr>
      <w:keepNext/>
      <w:keepLines/>
      <w:spacing w:before="40" w:line="252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E22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qFormat/>
    <w:locked/>
    <w:rsid w:val="00232C86"/>
  </w:style>
  <w:style w:type="character" w:customStyle="1" w:styleId="a4">
    <w:name w:val="Верхний колонтитул Знак"/>
    <w:basedOn w:val="a0"/>
    <w:qFormat/>
    <w:rsid w:val="00D634EF"/>
    <w:rPr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qFormat/>
    <w:rsid w:val="00D634EF"/>
    <w:rPr>
      <w:sz w:val="24"/>
      <w:szCs w:val="24"/>
      <w:lang w:val="en-US" w:eastAsia="en-US"/>
    </w:rPr>
  </w:style>
  <w:style w:type="character" w:styleId="a6">
    <w:name w:val="Hyperlink"/>
    <w:locked/>
    <w:rsid w:val="00733466"/>
    <w:rPr>
      <w:color w:val="006EB3"/>
      <w:u w:val="single"/>
    </w:rPr>
  </w:style>
  <w:style w:type="character" w:customStyle="1" w:styleId="a7">
    <w:name w:val="Текст Знак"/>
    <w:basedOn w:val="a0"/>
    <w:uiPriority w:val="99"/>
    <w:qFormat/>
    <w:rsid w:val="00733466"/>
    <w:rPr>
      <w:rFonts w:ascii="Courier New" w:eastAsia="Calibri" w:hAnsi="Courier New"/>
      <w:sz w:val="24"/>
      <w:szCs w:val="24"/>
    </w:rPr>
  </w:style>
  <w:style w:type="character" w:styleId="a8">
    <w:name w:val="Emphasis"/>
    <w:uiPriority w:val="20"/>
    <w:qFormat/>
    <w:locked/>
    <w:rsid w:val="00733466"/>
    <w:rPr>
      <w:i/>
      <w:iCs/>
    </w:rPr>
  </w:style>
  <w:style w:type="character" w:customStyle="1" w:styleId="20">
    <w:name w:val="Заголовок 2 Знак"/>
    <w:basedOn w:val="a0"/>
    <w:uiPriority w:val="9"/>
    <w:qFormat/>
    <w:rsid w:val="000B18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a9">
    <w:name w:val="Текст выноски Знак"/>
    <w:basedOn w:val="a0"/>
    <w:semiHidden/>
    <w:qFormat/>
    <w:rsid w:val="00E70A10"/>
    <w:rPr>
      <w:rFonts w:ascii="Segoe UI" w:hAnsi="Segoe UI" w:cs="Segoe UI"/>
      <w:sz w:val="18"/>
      <w:szCs w:val="18"/>
      <w:lang w:val="en-US" w:eastAsia="en-US"/>
    </w:rPr>
  </w:style>
  <w:style w:type="character" w:styleId="aa">
    <w:name w:val="annotation reference"/>
    <w:basedOn w:val="a0"/>
    <w:semiHidden/>
    <w:unhideWhenUsed/>
    <w:qFormat/>
    <w:locked/>
    <w:rsid w:val="00DB3E7D"/>
    <w:rPr>
      <w:sz w:val="16"/>
      <w:szCs w:val="16"/>
    </w:rPr>
  </w:style>
  <w:style w:type="character" w:customStyle="1" w:styleId="ab">
    <w:name w:val="Текст примечания Знак"/>
    <w:basedOn w:val="a0"/>
    <w:semiHidden/>
    <w:qFormat/>
    <w:rsid w:val="00DB3E7D"/>
    <w:rPr>
      <w:lang w:val="en-US" w:eastAsia="en-US"/>
    </w:rPr>
  </w:style>
  <w:style w:type="character" w:customStyle="1" w:styleId="ac">
    <w:name w:val="Тема примечания Знак"/>
    <w:basedOn w:val="ab"/>
    <w:semiHidden/>
    <w:qFormat/>
    <w:rsid w:val="00DB3E7D"/>
    <w:rPr>
      <w:b/>
      <w:bCs/>
      <w:lang w:val="en-US" w:eastAsia="en-US"/>
    </w:rPr>
  </w:style>
  <w:style w:type="character" w:customStyle="1" w:styleId="0">
    <w:name w:val="0 Знак"/>
    <w:basedOn w:val="a0"/>
    <w:link w:val="00"/>
    <w:qFormat/>
    <w:locked/>
    <w:rsid w:val="00BF0DBD"/>
    <w:rPr>
      <w:rFonts w:ascii="Calibri" w:eastAsia="Calibri" w:hAnsi="Calibri"/>
    </w:rPr>
  </w:style>
  <w:style w:type="character" w:styleId="ad">
    <w:name w:val="FollowedHyperlink"/>
    <w:semiHidden/>
    <w:unhideWhenUsed/>
    <w:qFormat/>
    <w:locked/>
    <w:rsid w:val="006A1BEA"/>
    <w:rPr>
      <w:color w:val="800000"/>
      <w:u w:val="single"/>
    </w:rPr>
  </w:style>
  <w:style w:type="character" w:customStyle="1" w:styleId="31">
    <w:name w:val="3 Текст Знак"/>
    <w:link w:val="32"/>
    <w:qFormat/>
    <w:locked/>
    <w:rsid w:val="00DA2B6B"/>
    <w:rPr>
      <w:sz w:val="26"/>
      <w:szCs w:val="24"/>
    </w:rPr>
  </w:style>
  <w:style w:type="character" w:customStyle="1" w:styleId="10">
    <w:name w:val="Заголовок 1 Знак"/>
    <w:basedOn w:val="a0"/>
    <w:qFormat/>
    <w:rsid w:val="00FF1887"/>
    <w:rPr>
      <w:b/>
      <w:sz w:val="24"/>
      <w:szCs w:val="24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C246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AB33B1"/>
    <w:rPr>
      <w:color w:val="605E5C"/>
      <w:shd w:val="clear" w:color="auto" w:fill="E1DFDD"/>
    </w:rPr>
  </w:style>
  <w:style w:type="paragraph" w:customStyle="1" w:styleId="12">
    <w:name w:val="Заголовок1"/>
    <w:basedOn w:val="a"/>
    <w:next w:val="ae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styleId="af2">
    <w:name w:val="Normal (Web)"/>
    <w:basedOn w:val="a"/>
    <w:uiPriority w:val="99"/>
    <w:unhideWhenUsed/>
    <w:qFormat/>
    <w:locked/>
    <w:rsid w:val="001E10B2"/>
    <w:pPr>
      <w:spacing w:line="312" w:lineRule="atLeast"/>
    </w:pPr>
    <w:rPr>
      <w:rFonts w:eastAsia="Calibri"/>
      <w:lang w:val="ru-RU" w:eastAsia="ru-RU"/>
    </w:rPr>
  </w:style>
  <w:style w:type="paragraph" w:customStyle="1" w:styleId="af3">
    <w:name w:val="[Основной абзац]"/>
    <w:basedOn w:val="a"/>
    <w:uiPriority w:val="99"/>
    <w:qFormat/>
    <w:rsid w:val="00227157"/>
    <w:pPr>
      <w:spacing w:line="288" w:lineRule="auto"/>
      <w:textAlignment w:val="center"/>
    </w:pPr>
    <w:rPr>
      <w:rFonts w:ascii="Minion Pro" w:eastAsia="Calibri" w:hAnsi="Minion Pro" w:cs="Minion Pro"/>
      <w:color w:val="000000"/>
      <w:lang w:val="ru-RU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locked/>
    <w:rsid w:val="00D634EF"/>
    <w:pPr>
      <w:tabs>
        <w:tab w:val="center" w:pos="4677"/>
        <w:tab w:val="right" w:pos="9355"/>
      </w:tabs>
    </w:pPr>
  </w:style>
  <w:style w:type="paragraph" w:styleId="af6">
    <w:name w:val="footer"/>
    <w:basedOn w:val="a"/>
    <w:locked/>
    <w:rsid w:val="00D634EF"/>
    <w:pPr>
      <w:tabs>
        <w:tab w:val="center" w:pos="4677"/>
        <w:tab w:val="right" w:pos="9355"/>
      </w:tabs>
    </w:pPr>
  </w:style>
  <w:style w:type="paragraph" w:styleId="af7">
    <w:name w:val="Plain Text"/>
    <w:basedOn w:val="a"/>
    <w:uiPriority w:val="99"/>
    <w:unhideWhenUsed/>
    <w:qFormat/>
    <w:locked/>
    <w:rsid w:val="00733466"/>
    <w:rPr>
      <w:rFonts w:ascii="Courier New" w:eastAsia="Calibri" w:hAnsi="Courier New"/>
    </w:rPr>
  </w:style>
  <w:style w:type="paragraph" w:styleId="af8">
    <w:name w:val="List Paragraph"/>
    <w:basedOn w:val="a"/>
    <w:uiPriority w:val="34"/>
    <w:qFormat/>
    <w:rsid w:val="000B1825"/>
    <w:pPr>
      <w:ind w:left="720"/>
    </w:pPr>
    <w:rPr>
      <w:rFonts w:eastAsiaTheme="minorHAnsi"/>
      <w:lang w:val="ru-RU" w:eastAsia="ru-RU"/>
    </w:rPr>
  </w:style>
  <w:style w:type="paragraph" w:styleId="af9">
    <w:name w:val="Balloon Text"/>
    <w:basedOn w:val="a"/>
    <w:semiHidden/>
    <w:unhideWhenUsed/>
    <w:qFormat/>
    <w:locked/>
    <w:rsid w:val="00E70A10"/>
    <w:rPr>
      <w:rFonts w:ascii="Segoe UI" w:hAnsi="Segoe UI" w:cs="Segoe UI"/>
      <w:sz w:val="18"/>
      <w:szCs w:val="18"/>
    </w:rPr>
  </w:style>
  <w:style w:type="paragraph" w:styleId="afa">
    <w:name w:val="annotation text"/>
    <w:basedOn w:val="a"/>
    <w:semiHidden/>
    <w:unhideWhenUsed/>
    <w:qFormat/>
    <w:locked/>
    <w:rsid w:val="00DB3E7D"/>
    <w:rPr>
      <w:sz w:val="20"/>
      <w:szCs w:val="20"/>
    </w:rPr>
  </w:style>
  <w:style w:type="paragraph" w:styleId="afb">
    <w:name w:val="annotation subject"/>
    <w:basedOn w:val="afa"/>
    <w:semiHidden/>
    <w:unhideWhenUsed/>
    <w:qFormat/>
    <w:locked/>
    <w:rsid w:val="00DB3E7D"/>
    <w:rPr>
      <w:b/>
      <w:bCs/>
    </w:rPr>
  </w:style>
  <w:style w:type="paragraph" w:customStyle="1" w:styleId="Default">
    <w:name w:val="Default"/>
    <w:qFormat/>
    <w:rsid w:val="00D70A47"/>
    <w:rPr>
      <w:color w:val="000000"/>
      <w:sz w:val="24"/>
      <w:szCs w:val="24"/>
    </w:rPr>
  </w:style>
  <w:style w:type="paragraph" w:customStyle="1" w:styleId="00">
    <w:name w:val="0"/>
    <w:basedOn w:val="a"/>
    <w:link w:val="0"/>
    <w:qFormat/>
    <w:rsid w:val="00BF0DBD"/>
    <w:pPr>
      <w:spacing w:line="360" w:lineRule="auto"/>
      <w:ind w:left="285" w:firstLine="708"/>
    </w:pPr>
    <w:rPr>
      <w:rFonts w:ascii="Calibri" w:eastAsia="Calibri" w:hAnsi="Calibri"/>
      <w:sz w:val="20"/>
      <w:szCs w:val="20"/>
      <w:lang w:val="ru-RU" w:eastAsia="ru-RU"/>
    </w:rPr>
  </w:style>
  <w:style w:type="paragraph" w:styleId="afc">
    <w:name w:val="No Spacing"/>
    <w:uiPriority w:val="1"/>
    <w:qFormat/>
    <w:rsid w:val="008D7357"/>
    <w:rPr>
      <w:color w:val="00000A"/>
      <w:sz w:val="24"/>
      <w:szCs w:val="24"/>
      <w:lang w:val="en-US" w:eastAsia="en-US"/>
    </w:rPr>
  </w:style>
  <w:style w:type="paragraph" w:customStyle="1" w:styleId="32">
    <w:name w:val="3 Текст"/>
    <w:basedOn w:val="a"/>
    <w:link w:val="31"/>
    <w:qFormat/>
    <w:rsid w:val="00DA2B6B"/>
    <w:pPr>
      <w:spacing w:after="120"/>
      <w:ind w:left="567"/>
    </w:pPr>
    <w:rPr>
      <w:sz w:val="26"/>
      <w:lang w:val="ru-RU" w:eastAsia="ru-RU"/>
    </w:rPr>
  </w:style>
  <w:style w:type="paragraph" w:styleId="afd">
    <w:name w:val="Revision"/>
    <w:uiPriority w:val="99"/>
    <w:semiHidden/>
    <w:qFormat/>
    <w:rsid w:val="00555ADB"/>
    <w:rPr>
      <w:color w:val="00000A"/>
      <w:sz w:val="24"/>
      <w:szCs w:val="24"/>
      <w:lang w:val="en-US" w:eastAsia="en-US"/>
    </w:rPr>
  </w:style>
  <w:style w:type="paragraph" w:customStyle="1" w:styleId="afe">
    <w:name w:val="Содержимое таблицы"/>
    <w:basedOn w:val="a"/>
    <w:qFormat/>
  </w:style>
  <w:style w:type="paragraph" w:customStyle="1" w:styleId="aff">
    <w:name w:val="Заголовок таблицы"/>
    <w:basedOn w:val="afe"/>
    <w:qFormat/>
  </w:style>
  <w:style w:type="table" w:styleId="aff0">
    <w:name w:val="Table Grid"/>
    <w:basedOn w:val="a1"/>
    <w:rsid w:val="00BE4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3"/>
    <w:basedOn w:val="a"/>
    <w:rsid w:val="00DD53D9"/>
    <w:pPr>
      <w:suppressAutoHyphens w:val="0"/>
      <w:spacing w:before="100" w:beforeAutospacing="1" w:after="100" w:afterAutospacing="1"/>
      <w:jc w:val="left"/>
    </w:pPr>
    <w:rPr>
      <w:rFonts w:eastAsia="Calibri"/>
      <w:color w:val="auto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2E22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4">
    <w:name w:val="4 текст + интерв"/>
    <w:basedOn w:val="a"/>
    <w:qFormat/>
    <w:rsid w:val="00074F6C"/>
    <w:pPr>
      <w:spacing w:before="160" w:after="160"/>
    </w:pPr>
    <w:rPr>
      <w:color w:val="auto"/>
      <w:szCs w:val="20"/>
      <w:lang w:val="ru-RU" w:eastAsia="ru-RU"/>
    </w:rPr>
  </w:style>
  <w:style w:type="character" w:customStyle="1" w:styleId="ui-lib-rich-texttext">
    <w:name w:val="ui-lib-rich-text__text"/>
    <w:basedOn w:val="a0"/>
    <w:rsid w:val="00A93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hab.dve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E3717-0BF2-472B-A017-0725B4D2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Бурейская ГЭС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Лелека Екатерина Александровна</dc:creator>
  <cp:lastModifiedBy>org 1</cp:lastModifiedBy>
  <cp:revision>33</cp:revision>
  <cp:lastPrinted>2022-06-30T04:44:00Z</cp:lastPrinted>
  <dcterms:created xsi:type="dcterms:W3CDTF">2024-05-07T22:50:00Z</dcterms:created>
  <dcterms:modified xsi:type="dcterms:W3CDTF">2024-05-15T00:51:00Z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